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4822" w:rsidP="00254822" w:rsidRDefault="00254822" w14:paraId="2463d23" w14:textId="2463d23">
      <w:pPr>
        <w:pStyle w:val="Tijeloteksta"/>
        <w:spacing w:before="1"/>
        <w15:collapsed w:val="false"/>
        <w:rPr>
          <w:sz w:val="12"/>
        </w:rPr>
      </w:pPr>
      <w:bookmarkStart w:name="_GoBack" w:id="0"/>
      <w:bookmarkEnd w:id="0"/>
    </w:p>
    <w:p w:rsidR="00254822" w:rsidP="00254822" w:rsidRDefault="00254822">
      <w:pPr>
        <w:pStyle w:val="Tijeloteksta"/>
        <w:spacing w:before="1"/>
        <w:rPr>
          <w:sz w:val="12"/>
        </w:rPr>
      </w:pPr>
    </w:p>
    <w:p w:rsidR="00254822" w:rsidP="00254822" w:rsidRDefault="00254822">
      <w:pPr>
        <w:pStyle w:val="Tijeloteksta"/>
        <w:spacing w:before="1"/>
        <w:rPr>
          <w:sz w:val="12"/>
        </w:rPr>
      </w:pPr>
    </w:p>
    <w:p w:rsidR="00254822" w:rsidP="00254822" w:rsidRDefault="00254822">
      <w:pPr>
        <w:pStyle w:val="Tijeloteksta"/>
        <w:rPr>
          <w:rFonts w:ascii="Times New Roman"/>
          <w:sz w:val="20"/>
        </w:rPr>
      </w:pPr>
    </w:p>
    <w:p w:rsidR="00254822" w:rsidP="00254822" w:rsidRDefault="00254822">
      <w:pPr>
        <w:pStyle w:val="Tijeloteksta"/>
        <w:rPr>
          <w:rFonts w:ascii="Times New Roman"/>
          <w:sz w:val="20"/>
        </w:rPr>
      </w:pPr>
    </w:p>
    <w:p w:rsidR="00254822" w:rsidP="00254822" w:rsidRDefault="00254822">
      <w:pPr>
        <w:pStyle w:val="Tijeloteksta"/>
        <w:rPr>
          <w:rFonts w:ascii="Times New Roman"/>
          <w:sz w:val="20"/>
        </w:rPr>
      </w:pPr>
    </w:p>
    <w:p w:rsidR="00254822" w:rsidP="00254822" w:rsidRDefault="00254822">
      <w:pPr>
        <w:pStyle w:val="Tijeloteksta"/>
        <w:rPr>
          <w:rFonts w:ascii="Times New Roman"/>
          <w:sz w:val="20"/>
        </w:rPr>
      </w:pPr>
    </w:p>
    <w:p w:rsidR="00254822" w:rsidP="00254822" w:rsidRDefault="00254822">
      <w:pPr>
        <w:pStyle w:val="Tijeloteksta"/>
        <w:rPr>
          <w:rFonts w:ascii="Times New Roman"/>
          <w:sz w:val="20"/>
        </w:rPr>
      </w:pPr>
    </w:p>
    <w:p w:rsidR="00254822" w:rsidP="00254822" w:rsidRDefault="00254822">
      <w:pPr>
        <w:spacing w:before="250"/>
        <w:ind w:left="777"/>
        <w:jc w:val="center"/>
        <w:rPr>
          <w:b/>
          <w:sz w:val="36"/>
        </w:rPr>
      </w:pPr>
      <w:r>
        <w:rPr>
          <w:b/>
          <w:sz w:val="36"/>
        </w:rPr>
        <w:t>GODIŠNJE IZVJEŠĆE O PROVEDBI</w:t>
      </w:r>
      <w:r>
        <w:rPr>
          <w:b/>
          <w:spacing w:val="-21"/>
          <w:sz w:val="36"/>
        </w:rPr>
        <w:t xml:space="preserve"> </w:t>
      </w:r>
      <w:r>
        <w:rPr>
          <w:b/>
          <w:sz w:val="36"/>
        </w:rPr>
        <w:t>MJERA IZVANREDNE UPRAVE U AGROKORU</w:t>
      </w:r>
      <w:r>
        <w:rPr>
          <w:b/>
          <w:spacing w:val="-54"/>
          <w:sz w:val="36"/>
        </w:rPr>
        <w:t xml:space="preserve"> </w:t>
      </w:r>
      <w:r>
        <w:rPr>
          <w:b/>
          <w:sz w:val="36"/>
        </w:rPr>
        <w:t>D.D.</w:t>
      </w:r>
    </w:p>
    <w:p w:rsidR="00254822" w:rsidP="00254822" w:rsidRDefault="006C3919">
      <w:pPr>
        <w:pStyle w:val="Tijeloteksta"/>
        <w:spacing w:before="6"/>
        <w:rPr>
          <w:b/>
          <w:sz w:val="14"/>
        </w:rPr>
      </w:pPr>
      <w:r>
        <w:rPr>
          <w:noProof/>
          <w:lang w:bidi="ar-SA"/>
        </w:rPr>
        <w:pict>
          <v:line from="69.5pt,11.1pt" to="547.3pt,11.1pt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id="Line 44" o:spid="_x0000_s1026" strokecolor="#c0504d" strokeweight="1.44pt">
            <w10:wrap type="topAndBottom" anchorx="page"/>
          </v:line>
        </w:pict>
      </w:r>
    </w:p>
    <w:p w:rsidR="00254822" w:rsidP="00254822" w:rsidRDefault="00254822">
      <w:pPr>
        <w:pStyle w:val="Tijeloteksta"/>
        <w:spacing w:before="5"/>
        <w:rPr>
          <w:b/>
          <w:sz w:val="28"/>
        </w:rPr>
      </w:pPr>
    </w:p>
    <w:p w:rsidR="00254822" w:rsidP="00254822" w:rsidRDefault="00254822">
      <w:pPr>
        <w:pStyle w:val="Tijeloteksta"/>
        <w:spacing w:before="92"/>
        <w:ind w:left="921"/>
      </w:pPr>
      <w:r>
        <w:t>ZA RAZDOBLJE OD 1. TRAVNJA  2019. DO 31. OŽUJKA 2020. GODINE</w:t>
      </w: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rPr>
          <w:sz w:val="26"/>
        </w:rPr>
      </w:pPr>
    </w:p>
    <w:p w:rsidR="00254822" w:rsidP="00254822" w:rsidRDefault="00254822">
      <w:pPr>
        <w:pStyle w:val="Tijeloteksta"/>
        <w:spacing w:before="7"/>
        <w:rPr>
          <w:sz w:val="26"/>
        </w:rPr>
      </w:pPr>
    </w:p>
    <w:p w:rsidR="00254822" w:rsidP="00254822" w:rsidRDefault="00254822">
      <w:pPr>
        <w:spacing w:line="242" w:lineRule="auto"/>
        <w:ind w:left="258"/>
        <w:jc w:val="both"/>
        <w:rPr>
          <w:i/>
          <w:sz w:val="20"/>
        </w:rPr>
      </w:pPr>
      <w:r>
        <w:rPr>
          <w:i/>
          <w:sz w:val="20"/>
        </w:rPr>
        <w:t>Pripremljeno temeljem članka 12. stavka 9. Zakona o postupku izvanredne uprave u trgovačkim društvima od sistemskog značaja za Republiku Hrvatsku (NN 32/2017) i temeljem Rješenja o potvrdi Nagodbe od 6. srpnja 2018. godine</w:t>
      </w:r>
    </w:p>
    <w:p w:rsidR="00254822" w:rsidP="00254822" w:rsidRDefault="00254822">
      <w:pPr>
        <w:spacing w:line="242" w:lineRule="auto"/>
        <w:rPr>
          <w:sz w:val="20"/>
        </w:rPr>
        <w:sectPr w:rsidR="00254822" w:rsidSect="001312FE">
          <w:headerReference w:type="default" r:id="rId10"/>
          <w:footerReference w:type="default" r:id="rId11"/>
          <w:pgSz w:w="11910" w:h="16840" w:code="9"/>
          <w:pgMar w:top="1680" w:right="860" w:bottom="1500" w:left="1160" w:header="709" w:footer="1316" w:gutter="0"/>
          <w:pgNumType w:start="1"/>
          <w:cols w:space="720"/>
        </w:sectPr>
      </w:pPr>
    </w:p>
    <w:p w:rsidR="00254822" w:rsidP="00254822" w:rsidRDefault="00254822">
      <w:pPr>
        <w:pStyle w:val="Tijeloteksta"/>
        <w:spacing w:before="2"/>
        <w:rPr>
          <w:i/>
          <w:sz w:val="12"/>
        </w:rPr>
      </w:pPr>
    </w:p>
    <w:p w:rsidR="00254822" w:rsidP="00254822" w:rsidRDefault="00254822">
      <w:pPr>
        <w:rPr>
          <w:sz w:val="20"/>
        </w:rPr>
        <w:sectPr w:rsidR="00254822" w:rsidSect="001312FE">
          <w:pgSz w:w="11910" w:h="16840" w:code="9"/>
          <w:pgMar w:top="1680" w:right="860" w:bottom="1711" w:left="1160" w:header="709" w:footer="1316" w:gutter="0"/>
          <w:cols w:space="720"/>
        </w:sectPr>
      </w:pPr>
    </w:p>
    <w:sdt>
      <w:sdtPr>
        <w:rPr>
          <w:rFonts w:ascii="Times New Roman" w:hAnsi="Times New Roman" w:eastAsia="Times New Roman" w:cs="Times New Roman"/>
          <w:b/>
          <w:bCs/>
          <w:sz w:val="22"/>
          <w:szCs w:val="22"/>
          <w:lang w:bidi="ar-SA"/>
        </w:rPr>
        <w:id w:val="-359819010"/>
        <w:docPartObj>
          <w:docPartGallery w:val="Table of Contents"/>
          <w:docPartUnique/>
        </w:docPartObj>
      </w:sdtPr>
      <w:sdtEndPr>
        <w:rPr>
          <w:bCs w:val="false"/>
          <w:noProof/>
          <w:sz w:val="24"/>
          <w:szCs w:val="24"/>
        </w:rPr>
      </w:sdtEndPr>
      <w:sdtContent>
        <w:p w:rsidRPr="00E2168E" w:rsidR="00254822" w:rsidP="00254822" w:rsidRDefault="00254822">
          <w:pPr>
            <w:pStyle w:val="Tijeloteksta"/>
            <w:rPr>
              <w:b/>
            </w:rPr>
          </w:pPr>
          <w:r w:rsidRPr="00E2168E">
            <w:rPr>
              <w:b/>
            </w:rPr>
            <w:t>Sadržaj</w:t>
          </w:r>
        </w:p>
        <w:p w:rsidR="00254822" w:rsidP="00254822" w:rsidRDefault="00254822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r w:rsidRPr="00D23904">
            <w:rPr>
              <w:sz w:val="22"/>
              <w:szCs w:val="24"/>
            </w:rPr>
            <w:fldChar w:fldCharType="begin"/>
          </w:r>
          <w:r w:rsidRPr="00D23904">
            <w:rPr>
              <w:sz w:val="22"/>
              <w:szCs w:val="24"/>
            </w:rPr>
            <w:instrText xml:space="preserve"> TOC \o "1-3" \h \z \u </w:instrText>
          </w:r>
          <w:r w:rsidRPr="00D23904">
            <w:rPr>
              <w:sz w:val="22"/>
              <w:szCs w:val="24"/>
            </w:rPr>
            <w:fldChar w:fldCharType="separate"/>
          </w:r>
          <w:hyperlink w:history="true" w:anchor="_Toc35527515">
            <w:r w:rsidRPr="00057FB0">
              <w:rPr>
                <w:rStyle w:val="Hiperveza"/>
                <w:noProof/>
              </w:rPr>
              <w:t>1. Uvod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_Toc35527515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54822" w:rsidP="00254822" w:rsidRDefault="006C3919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hyperlink w:history="true" w:anchor="_Toc35527516">
            <w:r w:rsidRPr="00057FB0" w:rsidR="00254822">
              <w:rPr>
                <w:rStyle w:val="Hiperveza"/>
                <w:noProof/>
              </w:rPr>
              <w:t>2. Aktivnosti na Datum početka provedbe Nagodbe</w:t>
            </w:r>
            <w:r w:rsidR="00254822">
              <w:rPr>
                <w:noProof/>
                <w:webHidden/>
              </w:rPr>
              <w:tab/>
            </w:r>
            <w:r w:rsidR="00254822">
              <w:rPr>
                <w:noProof/>
                <w:webHidden/>
              </w:rPr>
              <w:fldChar w:fldCharType="begin"/>
            </w:r>
            <w:r w:rsidR="00254822">
              <w:rPr>
                <w:noProof/>
                <w:webHidden/>
              </w:rPr>
              <w:instrText xml:space="preserve"> PAGEREF _Toc35527516 \h </w:instrText>
            </w:r>
            <w:r w:rsidR="00254822">
              <w:rPr>
                <w:noProof/>
                <w:webHidden/>
              </w:rPr>
            </w:r>
            <w:r w:rsidR="00254822">
              <w:rPr>
                <w:noProof/>
                <w:webHidden/>
              </w:rPr>
              <w:fldChar w:fldCharType="separate"/>
            </w:r>
            <w:r w:rsidR="00254822">
              <w:rPr>
                <w:noProof/>
                <w:webHidden/>
              </w:rPr>
              <w:t>3</w:t>
            </w:r>
            <w:r w:rsidR="00254822">
              <w:rPr>
                <w:noProof/>
                <w:webHidden/>
              </w:rPr>
              <w:fldChar w:fldCharType="end"/>
            </w:r>
          </w:hyperlink>
        </w:p>
        <w:p w:rsidR="00254822" w:rsidP="00254822" w:rsidRDefault="006C3919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hyperlink w:history="true" w:anchor="_Toc35527517">
            <w:r w:rsidRPr="00057FB0" w:rsidR="00254822">
              <w:rPr>
                <w:rStyle w:val="Hiperveza"/>
                <w:noProof/>
              </w:rPr>
              <w:t>3. Proces implementacije Nagodbe</w:t>
            </w:r>
            <w:r w:rsidR="00254822">
              <w:rPr>
                <w:noProof/>
                <w:webHidden/>
              </w:rPr>
              <w:tab/>
            </w:r>
            <w:r w:rsidR="00254822">
              <w:rPr>
                <w:noProof/>
                <w:webHidden/>
              </w:rPr>
              <w:fldChar w:fldCharType="begin"/>
            </w:r>
            <w:r w:rsidR="00254822">
              <w:rPr>
                <w:noProof/>
                <w:webHidden/>
              </w:rPr>
              <w:instrText xml:space="preserve"> PAGEREF _Toc35527517 \h </w:instrText>
            </w:r>
            <w:r w:rsidR="00254822">
              <w:rPr>
                <w:noProof/>
                <w:webHidden/>
              </w:rPr>
            </w:r>
            <w:r w:rsidR="00254822">
              <w:rPr>
                <w:noProof/>
                <w:webHidden/>
              </w:rPr>
              <w:fldChar w:fldCharType="separate"/>
            </w:r>
            <w:r w:rsidR="00254822">
              <w:rPr>
                <w:noProof/>
                <w:webHidden/>
              </w:rPr>
              <w:t>4</w:t>
            </w:r>
            <w:r w:rsidR="00254822">
              <w:rPr>
                <w:noProof/>
                <w:webHidden/>
              </w:rPr>
              <w:fldChar w:fldCharType="end"/>
            </w:r>
          </w:hyperlink>
        </w:p>
        <w:p w:rsidR="00254822" w:rsidP="00254822" w:rsidRDefault="006C3919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hyperlink w:history="true" w:anchor="_Toc35527518">
            <w:r w:rsidRPr="00057FB0" w:rsidR="00254822">
              <w:rPr>
                <w:rStyle w:val="Hiperveza"/>
                <w:noProof/>
              </w:rPr>
              <w:t>4. Troškovi izvanredne uprave i poslovanja Agrokora d.d.</w:t>
            </w:r>
            <w:r w:rsidR="00254822">
              <w:rPr>
                <w:noProof/>
                <w:webHidden/>
              </w:rPr>
              <w:tab/>
            </w:r>
            <w:r w:rsidR="00254822">
              <w:rPr>
                <w:noProof/>
                <w:webHidden/>
              </w:rPr>
              <w:fldChar w:fldCharType="begin"/>
            </w:r>
            <w:r w:rsidR="00254822">
              <w:rPr>
                <w:noProof/>
                <w:webHidden/>
              </w:rPr>
              <w:instrText xml:space="preserve"> PAGEREF _Toc35527518 \h </w:instrText>
            </w:r>
            <w:r w:rsidR="00254822">
              <w:rPr>
                <w:noProof/>
                <w:webHidden/>
              </w:rPr>
            </w:r>
            <w:r w:rsidR="00254822">
              <w:rPr>
                <w:noProof/>
                <w:webHidden/>
              </w:rPr>
              <w:fldChar w:fldCharType="separate"/>
            </w:r>
            <w:r w:rsidR="00254822">
              <w:rPr>
                <w:noProof/>
                <w:webHidden/>
              </w:rPr>
              <w:t>5</w:t>
            </w:r>
            <w:r w:rsidR="00254822">
              <w:rPr>
                <w:noProof/>
                <w:webHidden/>
              </w:rPr>
              <w:fldChar w:fldCharType="end"/>
            </w:r>
          </w:hyperlink>
        </w:p>
        <w:p w:rsidR="00254822" w:rsidP="00254822" w:rsidRDefault="006C3919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hyperlink w:history="true" w:anchor="_Toc35527519">
            <w:r w:rsidRPr="00057FB0" w:rsidR="00254822">
              <w:rPr>
                <w:rStyle w:val="Hiperveza"/>
                <w:noProof/>
              </w:rPr>
              <w:t>5. Sudski postupci i prijenos imovine izvan RH</w:t>
            </w:r>
            <w:r w:rsidR="00254822">
              <w:rPr>
                <w:noProof/>
                <w:webHidden/>
              </w:rPr>
              <w:tab/>
            </w:r>
            <w:r w:rsidR="00254822">
              <w:rPr>
                <w:noProof/>
                <w:webHidden/>
              </w:rPr>
              <w:fldChar w:fldCharType="begin"/>
            </w:r>
            <w:r w:rsidR="00254822">
              <w:rPr>
                <w:noProof/>
                <w:webHidden/>
              </w:rPr>
              <w:instrText xml:space="preserve"> PAGEREF _Toc35527519 \h </w:instrText>
            </w:r>
            <w:r w:rsidR="00254822">
              <w:rPr>
                <w:noProof/>
                <w:webHidden/>
              </w:rPr>
            </w:r>
            <w:r w:rsidR="00254822">
              <w:rPr>
                <w:noProof/>
                <w:webHidden/>
              </w:rPr>
              <w:fldChar w:fldCharType="separate"/>
            </w:r>
            <w:r w:rsidR="00254822">
              <w:rPr>
                <w:noProof/>
                <w:webHidden/>
              </w:rPr>
              <w:t>5</w:t>
            </w:r>
            <w:r w:rsidR="00254822">
              <w:rPr>
                <w:noProof/>
                <w:webHidden/>
              </w:rPr>
              <w:fldChar w:fldCharType="end"/>
            </w:r>
          </w:hyperlink>
        </w:p>
        <w:p w:rsidR="00254822" w:rsidP="00254822" w:rsidRDefault="006C3919">
          <w:pPr>
            <w:pStyle w:val="Sadraj1"/>
            <w:tabs>
              <w:tab w:val="right" w:leader="dot" w:pos="9880"/>
            </w:tabs>
            <w:rPr>
              <w:rFonts w:asciiTheme="minorHAnsi" w:hAnsiTheme="minorHAnsi" w:eastAsiaTheme="minorEastAsia" w:cstheme="minorBidi"/>
              <w:b w:val="false"/>
              <w:bCs w:val="false"/>
              <w:noProof/>
              <w:sz w:val="22"/>
              <w:szCs w:val="22"/>
              <w:lang w:bidi="ar-SA"/>
            </w:rPr>
          </w:pPr>
          <w:hyperlink w:history="true" w:anchor="_Toc35527520">
            <w:r w:rsidRPr="00057FB0" w:rsidR="00254822">
              <w:rPr>
                <w:rStyle w:val="Hiperveza"/>
                <w:rFonts w:eastAsia="Calibri"/>
                <w:noProof/>
                <w:lang w:eastAsia="zh-CN"/>
              </w:rPr>
              <w:t>6. Privremeno vjerovničko vijeće</w:t>
            </w:r>
            <w:r w:rsidR="00254822">
              <w:rPr>
                <w:noProof/>
                <w:webHidden/>
              </w:rPr>
              <w:tab/>
            </w:r>
            <w:r w:rsidR="00254822">
              <w:rPr>
                <w:noProof/>
                <w:webHidden/>
              </w:rPr>
              <w:fldChar w:fldCharType="begin"/>
            </w:r>
            <w:r w:rsidR="00254822">
              <w:rPr>
                <w:noProof/>
                <w:webHidden/>
              </w:rPr>
              <w:instrText xml:space="preserve"> PAGEREF _Toc35527520 \h </w:instrText>
            </w:r>
            <w:r w:rsidR="00254822">
              <w:rPr>
                <w:noProof/>
                <w:webHidden/>
              </w:rPr>
            </w:r>
            <w:r w:rsidR="00254822">
              <w:rPr>
                <w:noProof/>
                <w:webHidden/>
              </w:rPr>
              <w:fldChar w:fldCharType="separate"/>
            </w:r>
            <w:r w:rsidR="00254822">
              <w:rPr>
                <w:noProof/>
                <w:webHidden/>
              </w:rPr>
              <w:t>8</w:t>
            </w:r>
            <w:r w:rsidR="00254822">
              <w:rPr>
                <w:noProof/>
                <w:webHidden/>
              </w:rPr>
              <w:fldChar w:fldCharType="end"/>
            </w:r>
          </w:hyperlink>
        </w:p>
        <w:p w:rsidRPr="00F3625C" w:rsidR="00254822" w:rsidP="00254822" w:rsidRDefault="00254822">
          <w:pPr>
            <w:rPr>
              <w:b/>
            </w:rPr>
          </w:pPr>
          <w:r w:rsidRPr="00D23904">
            <w:rPr>
              <w:b/>
              <w:bCs/>
              <w:noProof/>
            </w:rPr>
            <w:fldChar w:fldCharType="end"/>
          </w:r>
        </w:p>
      </w:sdtContent>
    </w:sdt>
    <w:p w:rsidR="00254822" w:rsidP="00254822" w:rsidRDefault="00254822"/>
    <w:p w:rsidR="00254822" w:rsidP="00254822" w:rsidRDefault="00254822">
      <w:pPr>
        <w:sectPr w:rsidR="00254822" w:rsidSect="001312FE">
          <w:type w:val="continuous"/>
          <w:pgSz w:w="11910" w:h="16840" w:code="9"/>
          <w:pgMar w:top="1686" w:right="860" w:bottom="1711" w:left="1160" w:header="720" w:footer="720" w:gutter="0"/>
          <w:cols w:space="720"/>
        </w:sectPr>
      </w:pPr>
    </w:p>
    <w:p w:rsidR="00254822" w:rsidP="00254822" w:rsidRDefault="00254822">
      <w:pPr>
        <w:pStyle w:val="Naslov11"/>
        <w:numPr>
          <w:ilvl w:val="0"/>
          <w:numId w:val="0"/>
        </w:numPr>
        <w:rPr>
          <w:sz w:val="28"/>
          <w:szCs w:val="28"/>
        </w:rPr>
      </w:pPr>
    </w:p>
    <w:p w:rsidRPr="002B6812" w:rsidR="00254822" w:rsidP="00254822" w:rsidRDefault="00254822">
      <w:pPr>
        <w:ind w:firstLine="426"/>
        <w:outlineLvl w:val="0"/>
        <w:rPr>
          <w:b/>
          <w:sz w:val="28"/>
          <w:szCs w:val="28"/>
        </w:rPr>
      </w:pPr>
      <w:bookmarkStart w:name="_Toc35527515" w:id="1"/>
      <w:r w:rsidRPr="002B6812">
        <w:rPr>
          <w:b/>
          <w:sz w:val="28"/>
          <w:szCs w:val="28"/>
        </w:rPr>
        <w:t>1. Uvod</w:t>
      </w:r>
      <w:bookmarkEnd w:id="1"/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spacing w:line="276" w:lineRule="auto"/>
        <w:ind w:left="255"/>
        <w:jc w:val="both"/>
      </w:pPr>
      <w:r w:rsidRPr="00F007CC">
        <w:t xml:space="preserve">Ovo </w:t>
      </w:r>
      <w:r>
        <w:t>godišnje</w:t>
      </w:r>
      <w:r w:rsidRPr="00F007CC">
        <w:t xml:space="preserve"> izvješće odnosi se na razdoblje od </w:t>
      </w:r>
      <w:r>
        <w:t>1. travnja</w:t>
      </w:r>
      <w:r w:rsidRPr="00F007CC">
        <w:t xml:space="preserve"> </w:t>
      </w:r>
      <w:r>
        <w:t xml:space="preserve">2019. do 31. ožujka </w:t>
      </w:r>
      <w:r w:rsidRPr="00F007CC">
        <w:t>20</w:t>
      </w:r>
      <w:r>
        <w:t>20</w:t>
      </w:r>
      <w:r w:rsidRPr="00F007CC">
        <w:t>. godine. Cilj izvješća je da</w:t>
      </w:r>
      <w:r>
        <w:t xml:space="preserve"> se</w:t>
      </w:r>
      <w:r w:rsidRPr="00F007CC">
        <w:t xml:space="preserve"> u sklopu toga razdoblja </w:t>
      </w:r>
      <w:r>
        <w:t>rekapituliraju redovni izvještaji o implementaciji Nagodbe, odnosno o aktivnostima koje su poduzete nakon Datuma početka provedbe nagodbe 1. travnja 2019. godine u društvima pod izvanrednom upravom.</w:t>
      </w:r>
    </w:p>
    <w:p w:rsidRPr="00367A89"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spacing w:line="276" w:lineRule="auto"/>
        <w:ind w:left="255"/>
        <w:jc w:val="both"/>
      </w:pPr>
      <w:r w:rsidRPr="005D5D21">
        <w:t>S obzirom na prijenos poslovnih cjelina s Agrokor d</w:t>
      </w:r>
      <w:r>
        <w:t>.d. (Agrokor) na Fortenova grupu</w:t>
      </w:r>
      <w:r w:rsidRPr="005D5D21">
        <w:t xml:space="preserve"> d.d. (Fortenova grupa) </w:t>
      </w:r>
      <w:r>
        <w:t>na</w:t>
      </w:r>
      <w:r w:rsidRPr="005D5D21">
        <w:t xml:space="preserve"> dan 1. travnja 2019. godine, i </w:t>
      </w:r>
      <w:r>
        <w:t xml:space="preserve">činjenicu </w:t>
      </w:r>
      <w:r w:rsidRPr="005D5D21">
        <w:t>da Fortenova grupa nije dio izvanredne uprave, ovo izvješće ne prati razvoj gospodarske i financijske situacije u sustavu Fortenova grupe niti izvještava o realizaciji operativnih aktivnosti i ukupnog poslovanja Fortenova grupe i operativnih kompanija.</w:t>
      </w:r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ind w:firstLine="426"/>
        <w:outlineLvl w:val="0"/>
        <w:rPr>
          <w:b/>
          <w:sz w:val="28"/>
          <w:szCs w:val="28"/>
        </w:rPr>
      </w:pPr>
      <w:bookmarkStart w:name="_Toc35527516" w:id="2"/>
      <w:r w:rsidRPr="002B6812">
        <w:rPr>
          <w:b/>
          <w:sz w:val="28"/>
          <w:szCs w:val="28"/>
        </w:rPr>
        <w:t xml:space="preserve">2. </w:t>
      </w:r>
      <w:r w:rsidRPr="005D5D21">
        <w:rPr>
          <w:b/>
          <w:sz w:val="28"/>
          <w:szCs w:val="28"/>
        </w:rPr>
        <w:t>Aktivnosti na Datum početka provedbe Nagodbe</w:t>
      </w:r>
      <w:bookmarkEnd w:id="2"/>
    </w:p>
    <w:p w:rsidR="00254822" w:rsidP="00254822" w:rsidRDefault="00254822">
      <w:pPr>
        <w:ind w:firstLine="426"/>
        <w:outlineLvl w:val="0"/>
        <w:rPr>
          <w:b/>
          <w:sz w:val="28"/>
          <w:szCs w:val="28"/>
        </w:rPr>
      </w:pPr>
    </w:p>
    <w:p w:rsidR="00254822" w:rsidP="00254822" w:rsidRDefault="00254822">
      <w:pPr>
        <w:spacing w:line="276" w:lineRule="auto"/>
        <w:ind w:left="255"/>
        <w:jc w:val="both"/>
      </w:pPr>
      <w:r w:rsidRPr="008349D5">
        <w:t xml:space="preserve">Nastavno na </w:t>
      </w:r>
      <w:r>
        <w:t xml:space="preserve">pravomoćan </w:t>
      </w:r>
      <w:r w:rsidRPr="008349D5">
        <w:t>zaključak Trgovačkog suda u Zagrebu od 1. ožujka 2019.</w:t>
      </w:r>
      <w:r>
        <w:t xml:space="preserve"> godine te proglašenje </w:t>
      </w:r>
      <w:r w:rsidRPr="008349D5">
        <w:t>1. travnja 2019.</w:t>
      </w:r>
      <w:r>
        <w:t xml:space="preserve"> godine</w:t>
      </w:r>
      <w:r w:rsidRPr="008349D5">
        <w:t xml:space="preserve"> kao Datuma počeka provedbe Nagodbe</w:t>
      </w:r>
      <w:r>
        <w:t>,</w:t>
      </w:r>
      <w:r w:rsidRPr="008349D5">
        <w:t xml:space="preserve"> </w:t>
      </w:r>
      <w:r>
        <w:t>na</w:t>
      </w:r>
      <w:r w:rsidRPr="008349D5">
        <w:t xml:space="preserve"> dan 1. travnja 2019. </w:t>
      </w:r>
      <w:r>
        <w:t xml:space="preserve">godine </w:t>
      </w:r>
      <w:r w:rsidRPr="008349D5">
        <w:t>provedene su mjere restrukturiranja i provedbene radnje predviđene Nagodbom što je ujedno, između ostalog, uključivalo i sveobuhvatan prijenos gospodarskih cjelina pod izvanrednom upravom Agrokora na Fortenova grupu čime su nova krovna kompanija te zrcalne kompanije započele svoje poslovanje.</w:t>
      </w:r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spacing w:line="276" w:lineRule="auto"/>
        <w:ind w:left="255"/>
        <w:jc w:val="both"/>
      </w:pPr>
      <w:r w:rsidRPr="002B4F02">
        <w:t xml:space="preserve">Na Datum početka provedbe </w:t>
      </w:r>
      <w:r>
        <w:t>izvršene su</w:t>
      </w:r>
      <w:r w:rsidRPr="002B4F02">
        <w:t xml:space="preserve"> sljedeće radnje:</w:t>
      </w:r>
    </w:p>
    <w:p w:rsidR="00254822" w:rsidP="00254822" w:rsidRDefault="00254822">
      <w:pPr>
        <w:spacing w:line="276" w:lineRule="auto"/>
        <w:ind w:left="255"/>
        <w:jc w:val="both"/>
      </w:pP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>stupila je na snagu obveza Novčane isplate Nepotpuno naplativih tražbina manjeg iznosa u novcu s namirenjem ispod 40.000 kn. U ugovorenom roku od 30 dana izvršena su plaćanja iznosa Namirenja sukladno članku 23.4. u vezi sa člankom 23.5. Nagodbe prema Konačnom popisu Vjerovnika koji primaju Novčanu isplatu za sve Vjerovnike koji su dostavili Dužniku uredne i potpune podatke o vjerovniku i računu (SWIFT i IBAN) vjerovnika odnosno za sve Vjerovnike za koje su Dužnik i njegova ovisna i povezana društva u svojim poslovnim evidencijama imali ispravne podatke o računu (SWIFT i IBAN) odnosno pozivu na broj plaćanja;</w:t>
      </w: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>otpis tražbina koje se otpisuju temeljem Nagodbe (kako je navedeno u čl. 16.1 Nagodbe);</w:t>
      </w: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>ustup Ustupljenih tražbina Fortenova Group TopCo-u (kako je navedeno u čl. 18 Nagodbe);</w:t>
      </w:r>
    </w:p>
    <w:p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2B4F02">
        <w:t>izdavanje Novih instrumenata Ovlaštenicima novih instrumenata i Escrow agentu za vrijednosne papire (kako je navedeno u čl. 18.3.2 Nagodbe</w:t>
      </w:r>
      <w:r>
        <w:t xml:space="preserve">). Novi instrumenti su izdani vjerovnicima koji su za to ispunili potrebne uvjete, odnosno Escrow agentu i vodi ih agent za vrijednosne papire </w:t>
      </w:r>
      <w:r w:rsidRPr="002B4F02">
        <w:t>Lucid Issuer Services Limited</w:t>
      </w:r>
      <w:r>
        <w:t>;</w:t>
      </w:r>
    </w:p>
    <w:p w:rsidR="00254822" w:rsidP="00254822" w:rsidRDefault="00254822">
      <w:pPr>
        <w:pStyle w:val="Odlomakpopisa"/>
        <w:spacing w:line="276" w:lineRule="auto"/>
        <w:ind w:left="975"/>
        <w:jc w:val="both"/>
      </w:pP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>izdavanje Zapisa o zajmu dobavljača i Zapisa o zajmu Sberbank;</w:t>
      </w: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 xml:space="preserve">stupili su na snagu uvjeti namirenja Tražbina razlučnih vjerovnika (kako je </w:t>
      </w:r>
      <w:r w:rsidRPr="00C7170D">
        <w:lastRenderedPageBreak/>
        <w:t>navedeno u čl. 23.2 i 23.2.2 Nagodbe) i Potpuno naplativih tražbina (kako je navedeno u čl. 23.1 Nagodbe);</w:t>
      </w:r>
    </w:p>
    <w:p w:rsidRPr="00C7170D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C7170D">
        <w:t xml:space="preserve">nastala je obveza na prijenos poslovanja Društava pod izvanrednom upravom na Novu grupu (kako je navedeno u čl. 22.1.1 Nagodbe); </w:t>
      </w:r>
    </w:p>
    <w:p w:rsidRPr="002B4F02" w:rsidR="00254822" w:rsidP="00254822" w:rsidRDefault="00254822">
      <w:pPr>
        <w:pStyle w:val="Odlomakpopisa"/>
        <w:widowControl w:val="false"/>
        <w:numPr>
          <w:ilvl w:val="0"/>
          <w:numId w:val="7"/>
        </w:numPr>
        <w:autoSpaceDE w:val="false"/>
        <w:autoSpaceDN w:val="false"/>
        <w:spacing w:line="276" w:lineRule="auto"/>
        <w:contextualSpacing w:val="false"/>
        <w:jc w:val="both"/>
      </w:pPr>
      <w:r w:rsidRPr="002B4F02">
        <w:t xml:space="preserve">održana je Prva skupština Imatelja potvrda (kako je navedeno u čl. 19.1 </w:t>
      </w:r>
      <w:r w:rsidRPr="00315687">
        <w:t>Nagodbe</w:t>
      </w:r>
      <w:r w:rsidRPr="002B4F02">
        <w:t xml:space="preserve">). </w:t>
      </w:r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spacing w:line="276" w:lineRule="auto"/>
        <w:ind w:left="255"/>
        <w:jc w:val="both"/>
      </w:pPr>
      <w:r>
        <w:t>Također, na Datum početka provedbe Nagodbe prenesene su dionice, odnosno poslovni udjeli održivih društva na Fortenova grupu d.d. čime je postupak izvanredne uprave nad o</w:t>
      </w:r>
      <w:r w:rsidRPr="004D0E08">
        <w:t xml:space="preserve">drživim društvima </w:t>
      </w:r>
      <w:r>
        <w:t>završio.</w:t>
      </w:r>
    </w:p>
    <w:p w:rsidR="00254822" w:rsidP="00254822" w:rsidRDefault="00254822">
      <w:pPr>
        <w:spacing w:line="276" w:lineRule="auto"/>
        <w:ind w:left="255"/>
        <w:jc w:val="both"/>
      </w:pPr>
    </w:p>
    <w:p w:rsidRPr="00A67B2D" w:rsidR="00254822" w:rsidP="00254822" w:rsidRDefault="00254822">
      <w:pPr>
        <w:spacing w:line="276" w:lineRule="auto"/>
        <w:ind w:left="255"/>
        <w:jc w:val="both"/>
      </w:pPr>
      <w:r w:rsidRPr="00A67B2D">
        <w:t>Nakon ukidnog rješenja Visokog trgovačkog suda RH, Trgovački sud u Zagrebu je 27.11.2019. godine donio rješenje kojim se odobrava konačni tekst slijedećih provedbenih dokumenata:</w:t>
      </w:r>
    </w:p>
    <w:p w:rsidRPr="00A67B2D" w:rsidR="00254822" w:rsidP="00254822" w:rsidRDefault="00254822">
      <w:pPr>
        <w:spacing w:line="276" w:lineRule="auto"/>
        <w:ind w:left="255"/>
        <w:jc w:val="both"/>
      </w:pP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Osnivački akti Holding društava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Administrativna pravila STAK-a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Isprava o izdanju zamjenjivih obveznica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Uvjeti zamjenjivih obveznica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Pravila prijenosa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Isprava o izdanju poslovnih udjela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Isprava o izdanju potvrda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Escrow sporazum za vrijednosne papire</w:t>
      </w:r>
    </w:p>
    <w:p w:rsidRPr="00A67B2D"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Instrumenti zapisa o zajmu dobavljača</w:t>
      </w:r>
    </w:p>
    <w:p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Instrumenti zapisa o zajmu Sberbank</w:t>
      </w:r>
    </w:p>
    <w:p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Obeštećenje</w:t>
      </w:r>
    </w:p>
    <w:p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KYC obrazac i</w:t>
      </w:r>
    </w:p>
    <w:p w:rsidR="00254822" w:rsidP="00254822" w:rsidRDefault="00254822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spacing w:line="276" w:lineRule="auto"/>
        <w:contextualSpacing w:val="false"/>
        <w:jc w:val="both"/>
      </w:pPr>
      <w:r w:rsidRPr="00A67B2D">
        <w:t>Odluke operativnih društava podložne suglasnosti.</w:t>
      </w:r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spacing w:line="276" w:lineRule="auto"/>
        <w:ind w:left="255"/>
        <w:jc w:val="both"/>
        <w:rPr>
          <w:b/>
          <w:sz w:val="28"/>
          <w:szCs w:val="28"/>
        </w:rPr>
      </w:pPr>
      <w:r>
        <w:t>Adris grupa d.d. ponijela je žalbu protiv navedenog rješenja, a Agrokor se na istu očitovao dana 15.1.2020. godine.</w:t>
      </w:r>
    </w:p>
    <w:p w:rsidR="00254822" w:rsidP="00254822" w:rsidRDefault="00254822">
      <w:pPr>
        <w:ind w:firstLine="426"/>
        <w:outlineLvl w:val="0"/>
        <w:rPr>
          <w:b/>
          <w:sz w:val="28"/>
          <w:szCs w:val="28"/>
        </w:rPr>
      </w:pPr>
    </w:p>
    <w:p w:rsidRPr="00F365E5" w:rsidR="00254822" w:rsidP="00254822" w:rsidRDefault="00254822">
      <w:pPr>
        <w:ind w:firstLine="426"/>
        <w:outlineLvl w:val="0"/>
        <w:rPr>
          <w:b/>
          <w:sz w:val="28"/>
          <w:szCs w:val="28"/>
        </w:rPr>
      </w:pPr>
    </w:p>
    <w:p w:rsidRPr="00F365E5" w:rsidR="00254822" w:rsidP="00254822" w:rsidRDefault="00254822">
      <w:pPr>
        <w:ind w:firstLine="426"/>
        <w:outlineLvl w:val="0"/>
        <w:rPr>
          <w:b/>
          <w:sz w:val="28"/>
          <w:szCs w:val="28"/>
        </w:rPr>
      </w:pPr>
      <w:bookmarkStart w:name="_Toc35527517" w:id="3"/>
      <w:r w:rsidRPr="00F365E5">
        <w:rPr>
          <w:b/>
          <w:sz w:val="28"/>
          <w:szCs w:val="28"/>
        </w:rPr>
        <w:t>3. Proces implementacije Nagodbe</w:t>
      </w:r>
      <w:bookmarkEnd w:id="3"/>
    </w:p>
    <w:p w:rsidRPr="008349D5" w:rsidR="00254822" w:rsidP="00254822" w:rsidRDefault="00254822">
      <w:pPr>
        <w:spacing w:line="276" w:lineRule="auto"/>
        <w:ind w:left="255"/>
        <w:jc w:val="both"/>
      </w:pPr>
    </w:p>
    <w:p w:rsidRPr="008349D5" w:rsidR="00254822" w:rsidP="00254822" w:rsidRDefault="00254822">
      <w:pPr>
        <w:spacing w:line="276" w:lineRule="auto"/>
        <w:ind w:left="255"/>
        <w:jc w:val="both"/>
      </w:pPr>
      <w:r w:rsidRPr="008349D5">
        <w:t xml:space="preserve">Sama provedba implementacije izvršena je uspješnom provedbom usvojenih planova implementacije u svim ključnim stupovima planiranja implementacije, koju </w:t>
      </w:r>
      <w:r>
        <w:t>č</w:t>
      </w:r>
      <w:r w:rsidRPr="008349D5">
        <w:t>in</w:t>
      </w:r>
      <w:r>
        <w:t>e</w:t>
      </w:r>
      <w:r w:rsidRPr="008349D5">
        <w:t xml:space="preserve"> pravna implementacija (uključujući prijenos imovine), operativna implementacija, IT implementacija te implementacija u području računovodstva/financija/poreza.  </w:t>
      </w:r>
    </w:p>
    <w:p w:rsidR="00254822" w:rsidP="00254822" w:rsidRDefault="00254822">
      <w:pPr>
        <w:outlineLvl w:val="0"/>
        <w:rPr>
          <w:b/>
          <w:sz w:val="28"/>
          <w:szCs w:val="28"/>
        </w:rPr>
      </w:pPr>
    </w:p>
    <w:p w:rsidR="00254822" w:rsidP="00254822" w:rsidRDefault="00254822">
      <w:pPr>
        <w:spacing w:line="276" w:lineRule="auto"/>
        <w:ind w:left="255"/>
        <w:jc w:val="both"/>
      </w:pPr>
    </w:p>
    <w:p w:rsidR="00254822" w:rsidP="00254822" w:rsidRDefault="00254822">
      <w:pPr>
        <w:ind w:firstLine="426"/>
        <w:outlineLvl w:val="0"/>
        <w:rPr>
          <w:b/>
          <w:sz w:val="28"/>
          <w:szCs w:val="28"/>
        </w:rPr>
      </w:pPr>
      <w:bookmarkStart w:name="_Toc35527518" w:id="4"/>
      <w:r>
        <w:rPr>
          <w:b/>
          <w:sz w:val="28"/>
          <w:szCs w:val="28"/>
        </w:rPr>
        <w:t>4</w:t>
      </w:r>
      <w:r w:rsidRPr="00651D04">
        <w:rPr>
          <w:b/>
          <w:sz w:val="28"/>
          <w:szCs w:val="28"/>
        </w:rPr>
        <w:t>. Troškovi izvanredne uprave i poslovanja Agrokora d.d.</w:t>
      </w:r>
      <w:bookmarkEnd w:id="4"/>
    </w:p>
    <w:p w:rsidRPr="003A71A9" w:rsidR="00254822" w:rsidP="00254822" w:rsidRDefault="00254822">
      <w:pPr>
        <w:spacing w:line="276" w:lineRule="auto"/>
        <w:jc w:val="both"/>
        <w:rPr>
          <w:rFonts w:eastAsiaTheme="minorEastAsia"/>
          <w:lang w:eastAsia="zh-CN"/>
        </w:rPr>
      </w:pPr>
      <w:r w:rsidRPr="003A71A9">
        <w:rPr>
          <w:rFonts w:eastAsiaTheme="minorEastAsia"/>
          <w:lang w:eastAsia="zh-CN"/>
        </w:rPr>
        <w:t xml:space="preserve"> </w:t>
      </w:r>
    </w:p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Dana 1. travnja 2019. godine u sklopu implementacije nagodbe prenesena je imovina i poslovanje s Agrokora na Fortenova grupu.</w:t>
      </w:r>
    </w:p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8335FD" w:rsidR="00254822" w:rsidP="00254822" w:rsidRDefault="00254822">
      <w:pPr>
        <w:spacing w:line="276" w:lineRule="auto"/>
        <w:ind w:left="255"/>
        <w:jc w:val="both"/>
        <w:rPr>
          <w:noProof/>
          <w:lang w:eastAsia="en-US"/>
        </w:rPr>
      </w:pPr>
      <w:r w:rsidRPr="005D5D21">
        <w:rPr>
          <w:rFonts w:eastAsia="Calibri"/>
          <w:lang w:eastAsia="zh-CN"/>
        </w:rPr>
        <w:t>Sukladno odredbama Nagodbe Fortenova grupa sno</w:t>
      </w:r>
      <w:r>
        <w:rPr>
          <w:rFonts w:eastAsia="Calibri"/>
          <w:lang w:eastAsia="zh-CN"/>
        </w:rPr>
        <w:t xml:space="preserve">si troškove izvanredne uprave </w:t>
      </w:r>
      <w:r w:rsidRPr="005D5D21">
        <w:rPr>
          <w:rFonts w:eastAsia="Calibri"/>
          <w:lang w:eastAsia="zh-CN"/>
        </w:rPr>
        <w:t>sve do njezina prestanka</w:t>
      </w:r>
      <w:r>
        <w:rPr>
          <w:rFonts w:eastAsia="Calibri"/>
          <w:lang w:eastAsia="zh-CN"/>
        </w:rPr>
        <w:t>,</w:t>
      </w:r>
      <w:r w:rsidRPr="005D5D21">
        <w:rPr>
          <w:rFonts w:eastAsia="Calibri"/>
          <w:lang w:eastAsia="zh-CN"/>
        </w:rPr>
        <w:t xml:space="preserve"> odnosno brisanja Agrokora iz sudskog registra.</w:t>
      </w:r>
      <w:r>
        <w:rPr>
          <w:rFonts w:eastAsia="Calibri"/>
          <w:lang w:eastAsia="zh-CN"/>
        </w:rPr>
        <w:t xml:space="preserve"> </w:t>
      </w:r>
      <w:r w:rsidRPr="005D5D21">
        <w:rPr>
          <w:rFonts w:eastAsia="Calibri"/>
          <w:lang w:eastAsia="zh-CN"/>
        </w:rPr>
        <w:t xml:space="preserve">U razdoblju od 1. </w:t>
      </w:r>
      <w:r>
        <w:rPr>
          <w:rFonts w:eastAsia="Calibri"/>
          <w:lang w:eastAsia="zh-CN"/>
        </w:rPr>
        <w:t>travnja</w:t>
      </w:r>
      <w:r w:rsidRPr="005D5D21">
        <w:rPr>
          <w:rFonts w:eastAsia="Calibri"/>
          <w:lang w:eastAsia="zh-CN"/>
        </w:rPr>
        <w:t xml:space="preserve"> 2019. godine do </w:t>
      </w:r>
      <w:r>
        <w:rPr>
          <w:rFonts w:eastAsia="Calibri"/>
          <w:lang w:eastAsia="zh-CN"/>
        </w:rPr>
        <w:t>31. ožujka</w:t>
      </w:r>
      <w:r w:rsidRPr="005D5D21">
        <w:rPr>
          <w:rFonts w:eastAsia="Calibri"/>
          <w:lang w:eastAsia="zh-CN"/>
        </w:rPr>
        <w:t xml:space="preserve"> 2020. godine,</w:t>
      </w:r>
      <w:r>
        <w:rPr>
          <w:rFonts w:eastAsia="Calibri"/>
          <w:lang w:eastAsia="zh-CN"/>
        </w:rPr>
        <w:t xml:space="preserve"> za</w:t>
      </w:r>
      <w:r w:rsidRPr="005D5D21">
        <w:rPr>
          <w:rFonts w:eastAsia="Calibri"/>
          <w:lang w:eastAsia="zh-CN"/>
        </w:rPr>
        <w:t xml:space="preserve"> Agrokor </w:t>
      </w:r>
      <w:r>
        <w:rPr>
          <w:rFonts w:eastAsia="Calibri"/>
          <w:lang w:eastAsia="zh-CN"/>
        </w:rPr>
        <w:t xml:space="preserve">su plaćeni </w:t>
      </w:r>
      <w:r w:rsidRPr="005D5D21">
        <w:rPr>
          <w:rFonts w:eastAsia="Calibri"/>
          <w:lang w:eastAsia="zh-CN"/>
        </w:rPr>
        <w:t>samo nužni</w:t>
      </w:r>
      <w:r>
        <w:rPr>
          <w:rFonts w:eastAsia="Calibri"/>
          <w:lang w:eastAsia="zh-CN"/>
        </w:rPr>
        <w:t xml:space="preserve"> troškovi</w:t>
      </w:r>
      <w:r w:rsidRPr="005D5D21">
        <w:rPr>
          <w:rFonts w:eastAsia="Calibri"/>
          <w:lang w:eastAsia="zh-CN"/>
        </w:rPr>
        <w:t>, što je financirala Fortenova grupa.</w:t>
      </w:r>
    </w:p>
    <w:p w:rsidR="00254822" w:rsidP="00254822" w:rsidRDefault="00254822">
      <w:pPr>
        <w:ind w:firstLine="426"/>
        <w:jc w:val="both"/>
        <w:rPr>
          <w:b/>
          <w:sz w:val="28"/>
          <w:szCs w:val="28"/>
        </w:rPr>
      </w:pPr>
    </w:p>
    <w:p w:rsidRPr="007D29DE" w:rsidR="00254822" w:rsidP="00254822" w:rsidRDefault="00254822">
      <w:pPr>
        <w:ind w:firstLine="426"/>
        <w:outlineLvl w:val="0"/>
        <w:rPr>
          <w:b/>
          <w:sz w:val="28"/>
          <w:szCs w:val="28"/>
        </w:rPr>
      </w:pPr>
      <w:bookmarkStart w:name="_Toc35527519" w:id="5"/>
      <w:r>
        <w:rPr>
          <w:b/>
          <w:sz w:val="28"/>
          <w:szCs w:val="28"/>
        </w:rPr>
        <w:t xml:space="preserve">5. </w:t>
      </w:r>
      <w:r w:rsidRPr="00000C33">
        <w:rPr>
          <w:b/>
          <w:sz w:val="28"/>
          <w:szCs w:val="28"/>
        </w:rPr>
        <w:t>Sudski postupci</w:t>
      </w:r>
      <w:r>
        <w:rPr>
          <w:b/>
          <w:sz w:val="28"/>
          <w:szCs w:val="28"/>
        </w:rPr>
        <w:t xml:space="preserve"> i prijenos imovine izvan RH</w:t>
      </w:r>
      <w:bookmarkEnd w:id="5"/>
    </w:p>
    <w:p w:rsidRPr="00000C33" w:rsidR="00254822" w:rsidP="00254822" w:rsidRDefault="00254822"/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Vezano za prijenos imovine u inozemstvu, sva imovina, osim imovine društva Mercator d.d., prenesena je po samoj Nagodbi, a registracija prijenosa nije izvršena u odnosu na </w:t>
      </w:r>
      <w:r>
        <w:rPr>
          <w:rFonts w:eastAsia="Calibri"/>
          <w:lang w:eastAsia="zh-CN"/>
        </w:rPr>
        <w:t xml:space="preserve">društva </w:t>
      </w:r>
      <w:r w:rsidRPr="009405AE">
        <w:rPr>
          <w:rFonts w:eastAsia="Calibri"/>
          <w:lang w:eastAsia="zh-CN"/>
        </w:rPr>
        <w:t xml:space="preserve">Idea d.o.o. i Dijamant a.d. </w:t>
      </w:r>
      <w:r>
        <w:rPr>
          <w:rFonts w:eastAsia="Calibri"/>
          <w:lang w:eastAsia="zh-CN"/>
        </w:rPr>
        <w:t>u Republici Srbiji.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="00254822" w:rsidP="00254822" w:rsidRDefault="00254822">
      <w:pPr>
        <w:jc w:val="both"/>
        <w:rPr>
          <w:b/>
        </w:rPr>
      </w:pPr>
    </w:p>
    <w:p w:rsidRPr="009405AE" w:rsidR="00254822" w:rsidP="00254822" w:rsidRDefault="00254822">
      <w:pPr>
        <w:pStyle w:val="Odlomakpopisa"/>
        <w:widowControl w:val="false"/>
        <w:numPr>
          <w:ilvl w:val="0"/>
          <w:numId w:val="8"/>
        </w:numPr>
        <w:autoSpaceDE w:val="false"/>
        <w:autoSpaceDN w:val="false"/>
        <w:spacing w:line="276" w:lineRule="auto"/>
        <w:contextualSpacing w:val="false"/>
        <w:jc w:val="both"/>
        <w:rPr>
          <w:rFonts w:eastAsia="Calibri"/>
          <w:b/>
          <w:lang w:eastAsia="zh-CN"/>
        </w:rPr>
      </w:pPr>
      <w:r w:rsidRPr="009405AE">
        <w:rPr>
          <w:rFonts w:eastAsia="Calibri"/>
          <w:b/>
          <w:lang w:eastAsia="zh-CN"/>
        </w:rPr>
        <w:t>Banca Intesa</w:t>
      </w:r>
    </w:p>
    <w:p w:rsidRPr="009405AE"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U Srbiji je u tijeku sudski postupak protiv Agrokora pokrenut od strane Banca Intese, vezano za </w:t>
      </w:r>
      <w:r>
        <w:rPr>
          <w:rFonts w:eastAsia="Calibri"/>
          <w:lang w:eastAsia="zh-CN"/>
        </w:rPr>
        <w:t xml:space="preserve">naplatu </w:t>
      </w:r>
      <w:r w:rsidRPr="009405AE">
        <w:rPr>
          <w:rFonts w:eastAsia="Calibri"/>
          <w:lang w:eastAsia="zh-CN"/>
        </w:rPr>
        <w:t>potraživanj</w:t>
      </w:r>
      <w:r>
        <w:rPr>
          <w:rFonts w:eastAsia="Calibri"/>
          <w:lang w:eastAsia="zh-CN"/>
        </w:rPr>
        <w:t>a</w:t>
      </w:r>
      <w:r w:rsidRPr="009405AE">
        <w:rPr>
          <w:rFonts w:eastAsia="Calibri"/>
          <w:lang w:eastAsia="zh-CN"/>
        </w:rPr>
        <w:t xml:space="preserve"> spomenute banke iz Ugovora o kreditnoj liniji do maksimalnog iznosa od EUR 15,000,000 sklopljenog 9. studenog 2016.</w:t>
      </w:r>
      <w:r>
        <w:rPr>
          <w:rFonts w:eastAsia="Calibri"/>
          <w:lang w:eastAsia="zh-CN"/>
        </w:rPr>
        <w:t xml:space="preserve"> (dalje: Ugovor o kreditu)</w:t>
      </w:r>
      <w:r w:rsidRPr="009405AE">
        <w:rPr>
          <w:rFonts w:eastAsia="Calibri"/>
          <w:lang w:eastAsia="zh-CN"/>
        </w:rPr>
        <w:t xml:space="preserve">, pri čemu su kao sredstva osiguranja ugovorena jamstva povezanih društava </w:t>
      </w:r>
      <w:r w:rsidRPr="00B23483">
        <w:rPr>
          <w:rFonts w:eastAsia="Calibri"/>
          <w:lang w:eastAsia="zh-CN"/>
        </w:rPr>
        <w:t>(Konzum d</w:t>
      </w:r>
      <w:r>
        <w:rPr>
          <w:rFonts w:eastAsia="Calibri"/>
          <w:lang w:eastAsia="zh-CN"/>
        </w:rPr>
        <w:t>.</w:t>
      </w:r>
      <w:r w:rsidRPr="00B23483">
        <w:rPr>
          <w:rFonts w:eastAsia="Calibri"/>
          <w:lang w:eastAsia="zh-CN"/>
        </w:rPr>
        <w:t>d</w:t>
      </w:r>
      <w:r>
        <w:rPr>
          <w:rFonts w:eastAsia="Calibri"/>
          <w:lang w:eastAsia="zh-CN"/>
        </w:rPr>
        <w:t>.</w:t>
      </w:r>
      <w:r w:rsidRPr="00B23483">
        <w:rPr>
          <w:rFonts w:eastAsia="Calibri"/>
          <w:lang w:eastAsia="zh-CN"/>
        </w:rPr>
        <w:t>, Jamnica</w:t>
      </w:r>
      <w:r>
        <w:rPr>
          <w:rFonts w:eastAsia="Calibri"/>
          <w:lang w:eastAsia="zh-CN"/>
        </w:rPr>
        <w:t xml:space="preserve"> d.d.</w:t>
      </w:r>
      <w:r w:rsidRPr="00B23483">
        <w:rPr>
          <w:rFonts w:eastAsia="Calibri"/>
          <w:lang w:eastAsia="zh-CN"/>
        </w:rPr>
        <w:t xml:space="preserve">, Agrokor </w:t>
      </w:r>
      <w:r>
        <w:rPr>
          <w:rFonts w:eastAsia="Calibri"/>
          <w:lang w:eastAsia="zh-CN"/>
        </w:rPr>
        <w:t>– t</w:t>
      </w:r>
      <w:r w:rsidRPr="00B23483">
        <w:rPr>
          <w:rFonts w:eastAsia="Calibri"/>
          <w:lang w:eastAsia="zh-CN"/>
        </w:rPr>
        <w:t>rgovina</w:t>
      </w:r>
      <w:r>
        <w:rPr>
          <w:rFonts w:eastAsia="Calibri"/>
          <w:lang w:eastAsia="zh-CN"/>
        </w:rPr>
        <w:t xml:space="preserve"> d.o.o.</w:t>
      </w:r>
      <w:r w:rsidRPr="00B23483">
        <w:rPr>
          <w:rFonts w:eastAsia="Calibri"/>
          <w:lang w:eastAsia="zh-CN"/>
        </w:rPr>
        <w:t xml:space="preserve"> i PIK Vrbovec</w:t>
      </w:r>
      <w:r>
        <w:rPr>
          <w:rFonts w:eastAsia="Calibri"/>
          <w:lang w:eastAsia="zh-CN"/>
        </w:rPr>
        <w:t xml:space="preserve"> d.d.</w:t>
      </w:r>
      <w:r w:rsidRPr="00B23483">
        <w:rPr>
          <w:rFonts w:eastAsia="Calibri"/>
          <w:lang w:eastAsia="zh-CN"/>
        </w:rPr>
        <w:t>)</w:t>
      </w:r>
      <w:r w:rsidRPr="009405AE">
        <w:rPr>
          <w:rFonts w:eastAsia="Calibri"/>
          <w:lang w:eastAsia="zh-CN"/>
        </w:rPr>
        <w:t xml:space="preserve"> i jedna mjenica „bez protesta“. 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>U svibnju 2017., nakon stupanja na snagu Zakona o postupku izvanredne uprave u trgovačkim društvima od sistemskog značaja za Republiku Hrvatsku</w:t>
      </w:r>
      <w:r>
        <w:rPr>
          <w:rFonts w:eastAsia="Calibri"/>
          <w:lang w:eastAsia="zh-CN"/>
        </w:rPr>
        <w:t xml:space="preserve"> (dalje: ZPIU)</w:t>
      </w:r>
      <w:r w:rsidRPr="009405AE">
        <w:rPr>
          <w:rFonts w:eastAsia="Calibri"/>
          <w:lang w:eastAsia="zh-CN"/>
        </w:rPr>
        <w:t xml:space="preserve">, Banca Intesa u tom postupku prijavljuje sva svoja potraživanja prema Agrokoru i njegovim </w:t>
      </w:r>
      <w:r>
        <w:rPr>
          <w:rFonts w:eastAsia="Calibri"/>
          <w:lang w:eastAsia="zh-CN"/>
        </w:rPr>
        <w:t>ovisnim</w:t>
      </w:r>
      <w:r w:rsidRPr="009405AE">
        <w:rPr>
          <w:rFonts w:eastAsia="Calibri"/>
          <w:lang w:eastAsia="zh-CN"/>
        </w:rPr>
        <w:t xml:space="preserve"> društvima, pa i potraživanja iz Ugovora o kreditu. Banca Intesa je paralelno sa sudjelovanjem u postupku izvanredne uprave, u Srbiji pri Privrednom sudu u Zrenjaninu pokrenula postupak prisilne naplate nad dionicama u društvu Dijamant Zrenjanin a.d. (Dijamant) u vlasništvu Agrokora. Navedeni sud je 7. lipnja 2017. donio rješenje o ovrsi nad dionicama Agrokora u Dijamantu radi naplate predmetnog potraživanja Banca Intese, protiv kojeg je Agrokor izjavio prigovor u kolovozu iste godine pa je predmet upućen Privrednom sudu u Beogradu. 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Usprkos </w:t>
      </w:r>
      <w:r>
        <w:rPr>
          <w:rFonts w:eastAsia="Calibri"/>
          <w:lang w:eastAsia="zh-CN"/>
        </w:rPr>
        <w:t>podnesenom</w:t>
      </w:r>
      <w:r w:rsidRPr="009405AE">
        <w:rPr>
          <w:rFonts w:eastAsia="Calibri"/>
          <w:lang w:eastAsia="zh-CN"/>
        </w:rPr>
        <w:t xml:space="preserve"> pravnom lijeku, pravomoćno je odbačen zahtjev Agrokora za priznanje stranog stečajnog postupka u Srbiji te je u nakon provedenog ovršnog postupka u ožujku 2019. donesena sudska presuda kojom se Agrokoru nalaže da isplati Banca Inte</w:t>
      </w:r>
      <w:r>
        <w:rPr>
          <w:rFonts w:eastAsia="Calibri"/>
          <w:lang w:eastAsia="zh-CN"/>
        </w:rPr>
        <w:t>si iznos od EUR 15.194.996,44 s</w:t>
      </w:r>
      <w:r w:rsidRPr="009405AE">
        <w:rPr>
          <w:rFonts w:eastAsia="Calibri"/>
          <w:lang w:eastAsia="zh-CN"/>
        </w:rPr>
        <w:t xml:space="preserve"> kamatom, kao i troškove postupka, u roku od 8 dana. Nakon </w:t>
      </w:r>
      <w:r>
        <w:rPr>
          <w:rFonts w:eastAsia="Calibri"/>
          <w:lang w:eastAsia="zh-CN"/>
        </w:rPr>
        <w:t>podnesene</w:t>
      </w:r>
      <w:r w:rsidRPr="009405AE">
        <w:rPr>
          <w:rFonts w:eastAsia="Calibri"/>
          <w:lang w:eastAsia="zh-CN"/>
        </w:rPr>
        <w:t xml:space="preserve"> žalbe, drugostupanjski sud je prosincu 2019. potvrdio prvostupanjsku presudu čime je ona postala pravomoćna, pritom ne uzimajući u obzir činjenicu da je Nagodba u međuvremenu donesena i provedena, čime se Banca Intesa u cijelosti namirila </w:t>
      </w:r>
      <w:r>
        <w:rPr>
          <w:rFonts w:eastAsia="Calibri"/>
          <w:lang w:eastAsia="zh-CN"/>
        </w:rPr>
        <w:t xml:space="preserve">te postala vlasnik 0,5% Fortenova grupe </w:t>
      </w:r>
      <w:r w:rsidRPr="009405AE">
        <w:rPr>
          <w:rFonts w:eastAsia="Calibri"/>
          <w:lang w:eastAsia="zh-CN"/>
        </w:rPr>
        <w:t>sukladno odredbama same Nagodbe. U siječnju 2020. doneseno je rješenje o ovrsi nad dionicama Dijamanta koje je ukinuto zbog procesnih razloga</w:t>
      </w:r>
      <w:r>
        <w:rPr>
          <w:rFonts w:eastAsia="Calibri"/>
          <w:lang w:eastAsia="zh-CN"/>
        </w:rPr>
        <w:t xml:space="preserve">. U ožujku 2020. doneseno je novo </w:t>
      </w:r>
      <w:r w:rsidRPr="0076564B">
        <w:rPr>
          <w:rFonts w:eastAsia="Calibri"/>
          <w:lang w:eastAsia="zh-CN"/>
        </w:rPr>
        <w:t xml:space="preserve">rješenje o ovrsi </w:t>
      </w:r>
      <w:r>
        <w:rPr>
          <w:rFonts w:eastAsia="Calibri"/>
          <w:lang w:eastAsia="zh-CN"/>
        </w:rPr>
        <w:t xml:space="preserve">Privrednog suda u Zrenjaninu </w:t>
      </w:r>
      <w:r w:rsidRPr="0076564B">
        <w:rPr>
          <w:rFonts w:eastAsia="Calibri"/>
          <w:lang w:eastAsia="zh-CN"/>
        </w:rPr>
        <w:lastRenderedPageBreak/>
        <w:t>nad dionicama Dijamanta</w:t>
      </w:r>
      <w:r>
        <w:rPr>
          <w:rFonts w:eastAsia="Calibri"/>
          <w:lang w:eastAsia="zh-CN"/>
        </w:rPr>
        <w:t>, na koje rješenje je Agrokor podnio žalbu, a Fortenova grupa prigovor treće osobe.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Navedene sudske odluke kojima se Agrokoru </w:t>
      </w:r>
      <w:r>
        <w:rPr>
          <w:rFonts w:eastAsia="Calibri"/>
          <w:lang w:eastAsia="zh-CN"/>
        </w:rPr>
        <w:t xml:space="preserve">odnosno Fortenova grupi </w:t>
      </w:r>
      <w:r w:rsidRPr="009405AE">
        <w:rPr>
          <w:rFonts w:eastAsia="Calibri"/>
          <w:lang w:eastAsia="zh-CN"/>
        </w:rPr>
        <w:t>pokušava oduzeti vlasništvo nad dionicama Dijamanta temelje se na načelu nepriznavanja hrvatskog ZPI</w:t>
      </w:r>
      <w:r>
        <w:rPr>
          <w:rFonts w:eastAsia="Calibri"/>
          <w:lang w:eastAsia="zh-CN"/>
        </w:rPr>
        <w:t>U</w:t>
      </w:r>
      <w:r w:rsidRPr="009405AE">
        <w:rPr>
          <w:rFonts w:eastAsia="Calibri"/>
          <w:lang w:eastAsia="zh-CN"/>
        </w:rPr>
        <w:t xml:space="preserve"> i Nagodbe od strane srpskih nadležnih sudova i tijela, za razliku od svih ostalih država članica Europske unije, SAD-a, Ujedinjenog Kraljevstva Velike Britanije i Sjeverne Irske te Švicarske Konfederacije koje smatraju kako je proceduralno i materijalno ZPI</w:t>
      </w:r>
      <w:r>
        <w:rPr>
          <w:rFonts w:eastAsia="Calibri"/>
          <w:lang w:eastAsia="zh-CN"/>
        </w:rPr>
        <w:t>U</w:t>
      </w:r>
      <w:r w:rsidRPr="009405AE">
        <w:rPr>
          <w:rFonts w:eastAsia="Calibri"/>
          <w:lang w:eastAsia="zh-CN"/>
        </w:rPr>
        <w:t xml:space="preserve"> usklađen sa široko usvojenim principa insolventnih propisa u tim pravnim sustavima. 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Agrokor, društvo Fortenova grupa i nizozemsko društvo Fortenova </w:t>
      </w:r>
      <w:r>
        <w:rPr>
          <w:rFonts w:eastAsia="Calibri"/>
          <w:lang w:eastAsia="zh-CN"/>
        </w:rPr>
        <w:t xml:space="preserve">Group </w:t>
      </w:r>
      <w:r w:rsidRPr="009405AE">
        <w:rPr>
          <w:rFonts w:eastAsia="Calibri"/>
          <w:lang w:eastAsia="zh-CN"/>
        </w:rPr>
        <w:t>TopCo (na koje su po Nagodbi sve tražbine ustupljene) poduzeli su niz pravnih radnji kako bi se zaštitili od ovog postupanja nadležnih srpskih tijela i sudova te nepriznavanja hrvatskog pravnog sustava, između ostalog podnijeli su: (i) žalbu na rješenje o ovrsi, (ii) tužbu protiv Banca Intese,</w:t>
      </w:r>
      <w:r>
        <w:rPr>
          <w:rFonts w:eastAsia="Calibri"/>
          <w:lang w:eastAsia="zh-CN"/>
        </w:rPr>
        <w:t xml:space="preserve"> zajedno s</w:t>
      </w:r>
      <w:r w:rsidRPr="009405AE">
        <w:rPr>
          <w:rFonts w:eastAsia="Calibri"/>
          <w:lang w:eastAsia="zh-CN"/>
        </w:rPr>
        <w:t xml:space="preserve"> </w:t>
      </w:r>
      <w:r>
        <w:rPr>
          <w:rFonts w:eastAsia="Calibri"/>
          <w:lang w:eastAsia="zh-CN"/>
        </w:rPr>
        <w:t>p</w:t>
      </w:r>
      <w:r w:rsidRPr="009405AE">
        <w:rPr>
          <w:rFonts w:eastAsia="Calibri"/>
          <w:lang w:eastAsia="zh-CN"/>
        </w:rPr>
        <w:t xml:space="preserve">rijedlogom za određivanje Banca Intesi privremene mjere zabrane traženja i </w:t>
      </w:r>
      <w:r>
        <w:rPr>
          <w:rFonts w:eastAsia="Calibri"/>
          <w:lang w:eastAsia="zh-CN"/>
        </w:rPr>
        <w:t>naplaćivanja</w:t>
      </w:r>
      <w:r w:rsidRPr="009405AE">
        <w:rPr>
          <w:rFonts w:eastAsia="Calibri"/>
          <w:lang w:eastAsia="zh-CN"/>
        </w:rPr>
        <w:t xml:space="preserve"> </w:t>
      </w:r>
      <w:r>
        <w:rPr>
          <w:rFonts w:eastAsia="Calibri"/>
          <w:lang w:eastAsia="zh-CN"/>
        </w:rPr>
        <w:t>navedenog potraživanja</w:t>
      </w:r>
      <w:r w:rsidRPr="009405AE">
        <w:rPr>
          <w:rFonts w:eastAsia="Calibri"/>
          <w:lang w:eastAsia="zh-CN"/>
        </w:rPr>
        <w:t xml:space="preserve"> </w:t>
      </w:r>
      <w:r>
        <w:rPr>
          <w:rFonts w:eastAsia="Calibri"/>
          <w:lang w:eastAsia="zh-CN"/>
        </w:rPr>
        <w:t xml:space="preserve">od </w:t>
      </w:r>
      <w:r w:rsidRPr="009405AE">
        <w:rPr>
          <w:rFonts w:eastAsia="Calibri"/>
          <w:lang w:eastAsia="zh-CN"/>
        </w:rPr>
        <w:t>Agrokora (budući da Banca Intesa više nije vjerovnik), (iii) revizij</w:t>
      </w:r>
      <w:r>
        <w:rPr>
          <w:rFonts w:eastAsia="Calibri"/>
          <w:lang w:eastAsia="zh-CN"/>
        </w:rPr>
        <w:t>u</w:t>
      </w:r>
      <w:r w:rsidRPr="009405AE">
        <w:rPr>
          <w:rFonts w:eastAsia="Calibri"/>
          <w:lang w:eastAsia="zh-CN"/>
        </w:rPr>
        <w:t xml:space="preserve"> dana 5. veljače 2020. te (iv) zahtjev za priznanjem stranog </w:t>
      </w:r>
      <w:r>
        <w:rPr>
          <w:rFonts w:eastAsia="Calibri"/>
          <w:lang w:eastAsia="zh-CN"/>
        </w:rPr>
        <w:t>(stečajnog) postupka, zajedno s</w:t>
      </w:r>
      <w:r w:rsidRPr="009405AE">
        <w:rPr>
          <w:rFonts w:eastAsia="Calibri"/>
          <w:lang w:eastAsia="zh-CN"/>
        </w:rPr>
        <w:t xml:space="preserve"> prijedlogom za pravnu pomoć. </w:t>
      </w:r>
    </w:p>
    <w:p w:rsidRPr="00295D9C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pStyle w:val="Odlomakpopisa"/>
        <w:widowControl w:val="false"/>
        <w:numPr>
          <w:ilvl w:val="0"/>
          <w:numId w:val="8"/>
        </w:numPr>
        <w:autoSpaceDE w:val="false"/>
        <w:autoSpaceDN w:val="false"/>
        <w:spacing w:line="276" w:lineRule="auto"/>
        <w:contextualSpacing w:val="false"/>
        <w:jc w:val="both"/>
        <w:rPr>
          <w:rFonts w:eastAsia="Calibri"/>
          <w:b/>
          <w:lang w:eastAsia="zh-CN"/>
        </w:rPr>
      </w:pPr>
      <w:r w:rsidRPr="009405AE">
        <w:rPr>
          <w:rFonts w:eastAsia="Calibri"/>
          <w:b/>
          <w:lang w:eastAsia="zh-CN"/>
        </w:rPr>
        <w:t>Agencija za zaštitu tržišnog natjecanja Republike Slovenije</w:t>
      </w:r>
    </w:p>
    <w:p w:rsidRPr="009405AE"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lang w:eastAsia="zh-CN"/>
        </w:rPr>
      </w:pPr>
    </w:p>
    <w:p w:rsidR="00254822" w:rsidP="00254822" w:rsidRDefault="00254822">
      <w:pPr>
        <w:spacing w:line="276" w:lineRule="auto"/>
        <w:ind w:left="284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Društvo </w:t>
      </w:r>
      <w:r w:rsidRPr="00DF48E9">
        <w:rPr>
          <w:rFonts w:eastAsia="Calibri"/>
          <w:lang w:eastAsia="zh-CN"/>
        </w:rPr>
        <w:t xml:space="preserve">Agrokor AG, Zug, </w:t>
      </w:r>
      <w:r>
        <w:rPr>
          <w:rFonts w:eastAsia="Calibri"/>
          <w:lang w:eastAsia="zh-CN"/>
        </w:rPr>
        <w:t xml:space="preserve">iz Švicarske </w:t>
      </w:r>
      <w:r w:rsidRPr="00DF48E9">
        <w:rPr>
          <w:rFonts w:eastAsia="Calibri"/>
          <w:lang w:eastAsia="zh-CN"/>
        </w:rPr>
        <w:t>(</w:t>
      </w:r>
      <w:r>
        <w:rPr>
          <w:rFonts w:eastAsia="Calibri"/>
          <w:lang w:eastAsia="zh-CN"/>
        </w:rPr>
        <w:t xml:space="preserve">zastupano po zakonskom zastupniku g. Ivici </w:t>
      </w:r>
      <w:r w:rsidRPr="00DF48E9">
        <w:rPr>
          <w:rFonts w:eastAsia="Calibri"/>
          <w:lang w:eastAsia="zh-CN"/>
        </w:rPr>
        <w:t>Todorić</w:t>
      </w:r>
      <w:r>
        <w:rPr>
          <w:rFonts w:eastAsia="Calibri"/>
          <w:lang w:eastAsia="zh-CN"/>
        </w:rPr>
        <w:t xml:space="preserve">u) dana 14. svibnja </w:t>
      </w:r>
      <w:r w:rsidRPr="00DF48E9">
        <w:rPr>
          <w:rFonts w:eastAsia="Calibri"/>
          <w:lang w:eastAsia="zh-CN"/>
        </w:rPr>
        <w:t>2016</w:t>
      </w:r>
      <w:r>
        <w:rPr>
          <w:rFonts w:eastAsia="Calibri"/>
          <w:lang w:eastAsia="zh-CN"/>
        </w:rPr>
        <w:t xml:space="preserve">. sklopilo je ugovor o kupoprodaji udjela s društvom </w:t>
      </w:r>
      <w:r w:rsidRPr="00DF48E9">
        <w:rPr>
          <w:rFonts w:eastAsia="Calibri"/>
          <w:lang w:eastAsia="zh-CN"/>
        </w:rPr>
        <w:t xml:space="preserve">Alsafi Partners Ltd., Dubai, UAE, </w:t>
      </w:r>
      <w:r>
        <w:rPr>
          <w:rFonts w:eastAsia="Calibri"/>
          <w:lang w:eastAsia="zh-CN"/>
        </w:rPr>
        <w:t xml:space="preserve">temeljem kojega je </w:t>
      </w:r>
      <w:r w:rsidRPr="00DF48E9">
        <w:rPr>
          <w:rFonts w:eastAsia="Calibri"/>
          <w:lang w:eastAsia="zh-CN"/>
        </w:rPr>
        <w:t xml:space="preserve">Agrokor AG </w:t>
      </w:r>
      <w:r>
        <w:rPr>
          <w:rFonts w:eastAsia="Calibri"/>
          <w:lang w:eastAsia="zh-CN"/>
        </w:rPr>
        <w:t xml:space="preserve">steklo </w:t>
      </w:r>
      <w:r w:rsidRPr="00DF48E9">
        <w:rPr>
          <w:rFonts w:eastAsia="Calibri"/>
          <w:lang w:eastAsia="zh-CN"/>
        </w:rPr>
        <w:t xml:space="preserve">100% </w:t>
      </w:r>
      <w:r>
        <w:rPr>
          <w:rFonts w:eastAsia="Calibri"/>
          <w:lang w:eastAsia="zh-CN"/>
        </w:rPr>
        <w:t xml:space="preserve">udjela u društvu </w:t>
      </w:r>
      <w:r w:rsidRPr="00DF48E9">
        <w:rPr>
          <w:rFonts w:eastAsia="Calibri"/>
          <w:lang w:eastAsia="zh-CN"/>
        </w:rPr>
        <w:t xml:space="preserve">Ardeya Global Ltd., Dubai, </w:t>
      </w:r>
      <w:r>
        <w:rPr>
          <w:rFonts w:eastAsia="Calibri"/>
          <w:lang w:eastAsia="zh-CN"/>
        </w:rPr>
        <w:t xml:space="preserve">koje je imalo i trenutno ima u vlasništvu 100 % udjela u društvu </w:t>
      </w:r>
      <w:r w:rsidRPr="00DF48E9">
        <w:rPr>
          <w:rFonts w:eastAsia="Calibri"/>
          <w:lang w:eastAsia="zh-CN"/>
        </w:rPr>
        <w:t>Costella d.o.o., Kostel, Slovenia</w:t>
      </w:r>
      <w:r>
        <w:rPr>
          <w:rFonts w:eastAsia="Calibri"/>
          <w:lang w:eastAsia="zh-CN"/>
        </w:rPr>
        <w:t xml:space="preserve"> (</w:t>
      </w:r>
      <w:r w:rsidRPr="000A04D6">
        <w:rPr>
          <w:rFonts w:eastAsia="Calibri"/>
          <w:lang w:eastAsia="zh-CN"/>
        </w:rPr>
        <w:t>Transakcija</w:t>
      </w:r>
      <w:r w:rsidRPr="00DF48E9">
        <w:rPr>
          <w:rFonts w:eastAsia="Calibri"/>
          <w:lang w:eastAsia="zh-CN"/>
        </w:rPr>
        <w:t>).</w:t>
      </w:r>
      <w:r>
        <w:rPr>
          <w:rFonts w:eastAsia="Calibri"/>
          <w:lang w:eastAsia="zh-CN"/>
        </w:rPr>
        <w:t xml:space="preserve"> Prema stavu Agencije</w:t>
      </w:r>
      <w:r w:rsidRPr="00C051B8">
        <w:t xml:space="preserve"> </w:t>
      </w:r>
      <w:r w:rsidRPr="00C051B8">
        <w:rPr>
          <w:rFonts w:eastAsia="Calibri"/>
          <w:lang w:eastAsia="zh-CN"/>
        </w:rPr>
        <w:t>za zaštitu tržišnog natjecanja Republike Slovenije</w:t>
      </w:r>
      <w:r>
        <w:rPr>
          <w:rFonts w:eastAsia="Calibri"/>
          <w:lang w:eastAsia="zh-CN"/>
        </w:rPr>
        <w:t>, na Transakciju se primjenjuje članak 43. Zakona o zaštiti tržišnog natjecanja (ZZTN) te je stoga trebala biti predočena nadležnom tijelu u roku od 30 dana, odnosno do 13. lipnja 2016. Sankcija za neprijavljivanje prema istom zakonu jest prekršajna kazna u iznosu od 10 % od globalnih prihoda prijestupnika.</w:t>
      </w:r>
    </w:p>
    <w:p w:rsidR="00254822" w:rsidP="00254822" w:rsidRDefault="00254822">
      <w:pPr>
        <w:spacing w:line="276" w:lineRule="auto"/>
        <w:ind w:left="284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84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Izvanredna uprava Agrokora je za navedenu </w:t>
      </w:r>
      <w:r>
        <w:rPr>
          <w:rFonts w:eastAsia="Calibri"/>
          <w:lang w:eastAsia="zh-CN"/>
        </w:rPr>
        <w:t>T</w:t>
      </w:r>
      <w:r w:rsidRPr="009405AE">
        <w:rPr>
          <w:rFonts w:eastAsia="Calibri"/>
          <w:lang w:eastAsia="zh-CN"/>
        </w:rPr>
        <w:t>ransakciju švicarskog Agrokora AG, iz 2016. godine, saznala tek u drugoj polovici 2017. godine, a u prosincu 2017. godine nad Agrokorom AG je otvoren postupak moratorija te je od tada društvo pod nadzorom administratora/povjerenika postavljenog od strane švicarskog suda.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DF48E9">
        <w:rPr>
          <w:rFonts w:eastAsia="Calibri"/>
          <w:lang w:eastAsia="zh-CN"/>
        </w:rPr>
        <w:t>Agencija za zaštitu tržišnog natjecanja Republike Slovenije (Javna agencija Republike Slovenije za varstvo konkurence) donijela je 24. rujna 2019. godine nepravomoćnu odluku kojom je Agrokor</w:t>
      </w:r>
      <w:r>
        <w:rPr>
          <w:rFonts w:eastAsia="Calibri"/>
          <w:lang w:eastAsia="zh-CN"/>
        </w:rPr>
        <w:t>u</w:t>
      </w:r>
      <w:r w:rsidRPr="00DF48E9">
        <w:rPr>
          <w:rFonts w:eastAsia="Calibri"/>
          <w:lang w:eastAsia="zh-CN"/>
        </w:rPr>
        <w:t xml:space="preserve"> izrečena </w:t>
      </w:r>
      <w:r>
        <w:rPr>
          <w:rFonts w:eastAsia="Calibri"/>
          <w:lang w:eastAsia="zh-CN"/>
        </w:rPr>
        <w:t xml:space="preserve">novčana </w:t>
      </w:r>
      <w:r w:rsidRPr="00DF48E9">
        <w:rPr>
          <w:rFonts w:eastAsia="Calibri"/>
          <w:lang w:eastAsia="zh-CN"/>
        </w:rPr>
        <w:t xml:space="preserve">kazna od 53 milijuna eura zbog toga što švicarsko društvo Agrokor AG nije 2016. godine prijavilo preuzimanje društva Costella d.o.o. </w:t>
      </w:r>
      <w:r w:rsidRPr="009405AE">
        <w:rPr>
          <w:rFonts w:eastAsia="Calibri"/>
          <w:lang w:eastAsia="zh-CN"/>
        </w:rPr>
        <w:t>Cjelokupna transakcija koja se navodi u odluci Agencije odrađena je od strane tadašnje</w:t>
      </w:r>
      <w:r>
        <w:rPr>
          <w:rFonts w:eastAsia="Calibri"/>
          <w:lang w:eastAsia="zh-CN"/>
        </w:rPr>
        <w:t xml:space="preserve">g predsjednika Uprave Agrokora g. </w:t>
      </w:r>
      <w:r w:rsidRPr="009405AE">
        <w:rPr>
          <w:rFonts w:eastAsia="Calibri"/>
          <w:lang w:eastAsia="zh-CN"/>
        </w:rPr>
        <w:t xml:space="preserve">Ivice Todorića, koji je u ime društva Agrokor AG sa sjedištem u Švicarskoj još 2016. godine potpisao sve dokumente vezane uz transakciju koja je predmet odluke. </w:t>
      </w: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Agrokor </w:t>
      </w:r>
      <w:r>
        <w:rPr>
          <w:rFonts w:eastAsia="Calibri"/>
          <w:lang w:eastAsia="zh-CN"/>
        </w:rPr>
        <w:t xml:space="preserve">i Fortenova grupa </w:t>
      </w:r>
      <w:r w:rsidRPr="009405AE">
        <w:rPr>
          <w:rFonts w:eastAsia="Calibri"/>
          <w:lang w:eastAsia="zh-CN"/>
        </w:rPr>
        <w:t>poduzima</w:t>
      </w:r>
      <w:r>
        <w:rPr>
          <w:rFonts w:eastAsia="Calibri"/>
          <w:lang w:eastAsia="zh-CN"/>
        </w:rPr>
        <w:t>ju</w:t>
      </w:r>
      <w:r w:rsidRPr="009405AE">
        <w:rPr>
          <w:rFonts w:eastAsia="Calibri"/>
          <w:lang w:eastAsia="zh-CN"/>
        </w:rPr>
        <w:t xml:space="preserve"> sve raspoložive pravne korake protiv navedene nepravomoćne odluke.</w:t>
      </w:r>
    </w:p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="00254822" w:rsidP="00254822" w:rsidRDefault="00254822">
      <w:pPr>
        <w:pStyle w:val="Odlomakpopisa"/>
        <w:widowControl w:val="false"/>
        <w:numPr>
          <w:ilvl w:val="0"/>
          <w:numId w:val="8"/>
        </w:numPr>
        <w:autoSpaceDE w:val="false"/>
        <w:autoSpaceDN w:val="false"/>
        <w:spacing w:line="276" w:lineRule="auto"/>
        <w:contextualSpacing w:val="false"/>
        <w:jc w:val="both"/>
        <w:rPr>
          <w:rFonts w:eastAsia="Calibri"/>
          <w:b/>
          <w:lang w:eastAsia="zh-CN"/>
        </w:rPr>
      </w:pPr>
      <w:r>
        <w:rPr>
          <w:rFonts w:eastAsia="Calibri"/>
          <w:b/>
          <w:lang w:eastAsia="zh-CN"/>
        </w:rPr>
        <w:t>Prijava</w:t>
      </w:r>
      <w:r w:rsidRPr="003A064C">
        <w:rPr>
          <w:rFonts w:eastAsia="Calibri"/>
          <w:b/>
          <w:lang w:eastAsia="zh-CN"/>
        </w:rPr>
        <w:t xml:space="preserve"> namjere koncentracije za </w:t>
      </w:r>
      <w:r>
        <w:rPr>
          <w:rFonts w:eastAsia="Calibri"/>
          <w:b/>
          <w:lang w:eastAsia="zh-CN"/>
        </w:rPr>
        <w:t xml:space="preserve">prijenos </w:t>
      </w:r>
      <w:r w:rsidRPr="003A064C">
        <w:rPr>
          <w:rFonts w:eastAsia="Calibri"/>
          <w:b/>
          <w:lang w:eastAsia="zh-CN"/>
        </w:rPr>
        <w:t>Mercator</w:t>
      </w:r>
      <w:r>
        <w:rPr>
          <w:rFonts w:eastAsia="Calibri"/>
          <w:b/>
          <w:lang w:eastAsia="zh-CN"/>
        </w:rPr>
        <w:t xml:space="preserve"> dionica</w:t>
      </w:r>
    </w:p>
    <w:p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b/>
          <w:lang w:eastAsia="zh-CN"/>
        </w:rPr>
      </w:pPr>
    </w:p>
    <w:p w:rsidR="00254822" w:rsidP="00254822" w:rsidRDefault="00254822">
      <w:pPr>
        <w:pStyle w:val="Odlomakpopisa"/>
        <w:spacing w:line="276" w:lineRule="auto"/>
        <w:ind w:left="284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Prema članku 22.3. Nagodbi, </w:t>
      </w:r>
      <w:r w:rsidRPr="00B23483">
        <w:rPr>
          <w:rFonts w:eastAsia="Calibri"/>
          <w:lang w:eastAsia="zh-CN"/>
        </w:rPr>
        <w:t xml:space="preserve">dionice </w:t>
      </w:r>
      <w:r>
        <w:rPr>
          <w:rFonts w:eastAsia="Calibri"/>
          <w:lang w:eastAsia="zh-CN"/>
        </w:rPr>
        <w:t xml:space="preserve">Agrokora </w:t>
      </w:r>
      <w:r w:rsidRPr="00B23483">
        <w:rPr>
          <w:rFonts w:eastAsia="Calibri"/>
          <w:lang w:eastAsia="zh-CN"/>
        </w:rPr>
        <w:t xml:space="preserve">u slovenskom društvu Poslovni sistem Mercator d.d. (registracijski broj 5300231000) </w:t>
      </w:r>
      <w:r>
        <w:rPr>
          <w:rFonts w:eastAsia="Calibri"/>
          <w:lang w:eastAsia="zh-CN"/>
        </w:rPr>
        <w:t>nisu preneseni</w:t>
      </w:r>
      <w:r w:rsidRPr="00B23483">
        <w:rPr>
          <w:rFonts w:eastAsia="Calibri"/>
          <w:lang w:eastAsia="zh-CN"/>
        </w:rPr>
        <w:t xml:space="preserve"> na Novu grupu na Datum početka provedbe</w:t>
      </w:r>
      <w:r>
        <w:rPr>
          <w:rFonts w:eastAsia="Calibri"/>
          <w:lang w:eastAsia="zh-CN"/>
        </w:rPr>
        <w:t>,</w:t>
      </w:r>
      <w:r w:rsidRPr="00B23483">
        <w:rPr>
          <w:rFonts w:eastAsia="Calibri"/>
          <w:lang w:eastAsia="zh-CN"/>
        </w:rPr>
        <w:t xml:space="preserve"> nego </w:t>
      </w:r>
      <w:r>
        <w:rPr>
          <w:rFonts w:eastAsia="Calibri"/>
          <w:lang w:eastAsia="zh-CN"/>
        </w:rPr>
        <w:t xml:space="preserve">će biti preneseni </w:t>
      </w:r>
      <w:r w:rsidRPr="00B23483">
        <w:rPr>
          <w:rFonts w:eastAsia="Calibri"/>
          <w:lang w:eastAsia="zh-CN"/>
        </w:rPr>
        <w:t xml:space="preserve">kasnije („Datum prijenosa dionica Mercatora“). Datum prijenosa dionica Mercatora odredit će Izvanredni povjerenik u sporazumu s </w:t>
      </w:r>
      <w:r>
        <w:rPr>
          <w:rFonts w:eastAsia="Calibri"/>
          <w:lang w:eastAsia="zh-CN"/>
        </w:rPr>
        <w:t>Fortenova grupom d.d</w:t>
      </w:r>
      <w:r w:rsidRPr="00B23483">
        <w:rPr>
          <w:rFonts w:eastAsia="Calibri"/>
          <w:lang w:eastAsia="zh-CN"/>
        </w:rPr>
        <w:t>.</w:t>
      </w:r>
    </w:p>
    <w:p w:rsidR="00254822" w:rsidP="00254822" w:rsidRDefault="00254822">
      <w:pPr>
        <w:pStyle w:val="Odlomakpopisa"/>
        <w:spacing w:line="276" w:lineRule="auto"/>
        <w:ind w:left="284"/>
        <w:jc w:val="both"/>
        <w:rPr>
          <w:rFonts w:eastAsia="Calibri"/>
          <w:lang w:eastAsia="zh-CN"/>
        </w:rPr>
      </w:pPr>
    </w:p>
    <w:p w:rsidR="00254822" w:rsidP="00254822" w:rsidRDefault="00254822">
      <w:pPr>
        <w:pStyle w:val="Odlomakpopisa"/>
        <w:spacing w:line="276" w:lineRule="auto"/>
        <w:ind w:left="284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Slijedom navedenog, a sukladno Uredbi</w:t>
      </w:r>
      <w:r w:rsidRPr="005B6B9A">
        <w:rPr>
          <w:rFonts w:eastAsia="Calibri"/>
          <w:lang w:eastAsia="zh-CN"/>
        </w:rPr>
        <w:t xml:space="preserve"> Vijeća (EZ) br. 139/2004 od 20. siječnja 2004. o kontroli koncentracija između poduzetnika (Uredba EZ o koncentracijama)</w:t>
      </w:r>
      <w:r>
        <w:rPr>
          <w:rFonts w:eastAsia="Calibri"/>
          <w:lang w:eastAsia="zh-CN"/>
        </w:rPr>
        <w:t xml:space="preserve">, prijenos Agrokorovih </w:t>
      </w:r>
      <w:r w:rsidRPr="00B12AA1">
        <w:rPr>
          <w:rFonts w:eastAsia="Calibri"/>
          <w:lang w:eastAsia="zh-CN"/>
        </w:rPr>
        <w:t xml:space="preserve">69.57% </w:t>
      </w:r>
      <w:r>
        <w:rPr>
          <w:rFonts w:eastAsia="Calibri"/>
          <w:lang w:eastAsia="zh-CN"/>
        </w:rPr>
        <w:t xml:space="preserve">dionica u društvu Mercator podložan je ishođenju odobrenja u postupku kontrole koncentracije u sljedećim jurisdikcijama: Europskoj uniji, Republici Srbiji, Bosni i Hercegovini, Crnoj Gori i Republici Sjevernoj Makedoniji (u posljednje tri države bezuvjetno odobrenje već je ishođeno). </w:t>
      </w:r>
    </w:p>
    <w:p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lang w:eastAsia="zh-CN"/>
        </w:rPr>
      </w:pPr>
    </w:p>
    <w:p w:rsidRPr="0076564B" w:rsidR="00254822" w:rsidP="00254822" w:rsidRDefault="00254822">
      <w:pPr>
        <w:pStyle w:val="Odlomakpopisa"/>
        <w:spacing w:line="276" w:lineRule="auto"/>
        <w:ind w:left="284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Fortenova grupa započela je postupak prethodne prijave koncentracije pred nadležnim tijelom EU, odnosno Europskom Komisijom, te je u sklopu istoga skupini zaduženoj za ovaj predmet dostavila prvi nacrt obrazloženog podneska sa svim propisanim podacima. Fortenova grupa i dalje nastavlja postupati sukladno propisanim postupovnim obvezama i dostavljati/odgovarati/poduzimati sve radnje naložene od strane EU Komisije te je u skorom vremenskom periodu trebala i formalno sudjelovati u prvoj fazi ispitivanja prijave. Međutim, 13. ožujka 2020. EU Komisija izdala je obavijest kojom se radi složenosti i očekivanih prekida u radu izazvanih pandemijom virusa Covid-19 odgađa zaprimanje formalnih prijava do daljnjega. Kada se prijava formalno podnese, odobrenje se očekuje kroz okvirno pet tjedana.</w:t>
      </w:r>
    </w:p>
    <w:p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:rsidRPr="000A04D6" w:rsidR="00254822" w:rsidP="00254822" w:rsidRDefault="00254822">
      <w:pPr>
        <w:pStyle w:val="Odlomakpopisa"/>
        <w:spacing w:line="276" w:lineRule="auto"/>
        <w:ind w:left="284"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Fortenova grupa nastavlja konstruktivnu suradnju sa svim nadležnim tijelima u EU i Republici Srbiji te nastavlja poduzimati sve raspložive pravne radnje kako bi se prijenos dionica u Mercatoru što prije proveo u cijelosti.</w:t>
      </w:r>
    </w:p>
    <w:p w:rsidRPr="003A064C"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b/>
          <w:lang w:eastAsia="zh-CN"/>
        </w:rPr>
      </w:pPr>
    </w:p>
    <w:p w:rsidRPr="009405AE" w:rsidR="00254822" w:rsidP="00254822" w:rsidRDefault="00254822">
      <w:pPr>
        <w:pStyle w:val="Odlomakpopisa"/>
        <w:widowControl w:val="false"/>
        <w:numPr>
          <w:ilvl w:val="0"/>
          <w:numId w:val="8"/>
        </w:numPr>
        <w:autoSpaceDE w:val="false"/>
        <w:autoSpaceDN w:val="false"/>
        <w:spacing w:line="276" w:lineRule="auto"/>
        <w:contextualSpacing w:val="false"/>
        <w:jc w:val="both"/>
        <w:rPr>
          <w:rFonts w:eastAsia="Calibri"/>
          <w:b/>
          <w:lang w:eastAsia="zh-CN"/>
        </w:rPr>
      </w:pPr>
      <w:r w:rsidRPr="009405AE">
        <w:rPr>
          <w:rFonts w:eastAsia="Calibri"/>
          <w:b/>
          <w:lang w:eastAsia="zh-CN"/>
        </w:rPr>
        <w:t>Adria Group Holding B.V. i Ivica Todorić</w:t>
      </w:r>
    </w:p>
    <w:p w:rsidRPr="009405AE" w:rsidR="00254822" w:rsidP="00254822" w:rsidRDefault="00254822">
      <w:pPr>
        <w:pStyle w:val="Odlomakpopisa"/>
        <w:spacing w:line="276" w:lineRule="auto"/>
        <w:ind w:left="61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  <w:r w:rsidRPr="009405AE">
        <w:rPr>
          <w:rFonts w:eastAsia="Calibri"/>
          <w:lang w:eastAsia="zh-CN"/>
        </w:rPr>
        <w:t xml:space="preserve">Adria Group Holding B.V. i Ivica Todorić </w:t>
      </w:r>
      <w:r>
        <w:rPr>
          <w:rFonts w:eastAsia="Calibri"/>
          <w:lang w:eastAsia="zh-CN"/>
        </w:rPr>
        <w:t xml:space="preserve">su </w:t>
      </w:r>
      <w:r w:rsidRPr="009405AE">
        <w:rPr>
          <w:rFonts w:eastAsia="Calibri"/>
          <w:lang w:eastAsia="zh-CN"/>
        </w:rPr>
        <w:t xml:space="preserve">podnijeli tužbu Privrednom sudu u Beogradu protiv Agrokora, Fortenova grupe d.d., određenih hrvatskih i srpskih društava kojim traže da se utvrdi ništetnost ugovora o prijenosu poslovnih udjela u ovisnim društvima u Srbiji. Uz tužbu je podnesen i prijedlog za određivanje privremene mjere za zabranu raspolaganja udjelima u tim društvima. Tuženici su podnijeli odgovor na tužbu </w:t>
      </w:r>
      <w:r>
        <w:rPr>
          <w:rFonts w:eastAsia="Calibri"/>
          <w:lang w:eastAsia="zh-CN"/>
        </w:rPr>
        <w:t>i prijedlog za privremenu mjeru</w:t>
      </w:r>
      <w:r w:rsidRPr="009405AE">
        <w:rPr>
          <w:rFonts w:eastAsia="Calibri"/>
          <w:lang w:eastAsia="zh-CN"/>
        </w:rPr>
        <w:t xml:space="preserve"> te se čeka odluka suda.</w:t>
      </w:r>
    </w:p>
    <w:p w:rsidR="00254822" w:rsidP="00254822" w:rsidRDefault="00254822">
      <w:pPr>
        <w:spacing w:line="276" w:lineRule="auto"/>
        <w:ind w:left="255"/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jc w:val="both"/>
        <w:rPr>
          <w:rFonts w:eastAsia="Calibri"/>
          <w:lang w:eastAsia="zh-CN"/>
        </w:rPr>
      </w:pPr>
    </w:p>
    <w:p w:rsidRPr="009405AE" w:rsidR="00254822" w:rsidP="00254822" w:rsidRDefault="00254822">
      <w:pPr>
        <w:ind w:firstLine="426"/>
        <w:outlineLvl w:val="0"/>
        <w:rPr>
          <w:rFonts w:eastAsia="Calibri"/>
          <w:b/>
          <w:sz w:val="28"/>
          <w:szCs w:val="28"/>
          <w:lang w:eastAsia="zh-CN"/>
        </w:rPr>
      </w:pPr>
      <w:r w:rsidRPr="009405AE">
        <w:rPr>
          <w:rFonts w:eastAsia="Calibri"/>
          <w:b/>
          <w:sz w:val="28"/>
          <w:szCs w:val="28"/>
          <w:lang w:eastAsia="zh-CN"/>
        </w:rPr>
        <w:lastRenderedPageBreak/>
        <w:t xml:space="preserve"> </w:t>
      </w:r>
      <w:bookmarkStart w:name="_Toc35527520" w:id="6"/>
      <w:r w:rsidRPr="009405AE">
        <w:rPr>
          <w:rFonts w:eastAsia="Calibri"/>
          <w:b/>
          <w:sz w:val="28"/>
          <w:szCs w:val="28"/>
          <w:lang w:eastAsia="zh-CN"/>
        </w:rPr>
        <w:t>6. Privremeno vjerovničko vijeće</w:t>
      </w:r>
      <w:bookmarkEnd w:id="6"/>
      <w:r w:rsidRPr="009405AE">
        <w:rPr>
          <w:rFonts w:eastAsia="Calibri"/>
          <w:b/>
          <w:sz w:val="28"/>
          <w:szCs w:val="28"/>
          <w:lang w:eastAsia="zh-CN"/>
        </w:rPr>
        <w:t xml:space="preserve">  </w:t>
      </w:r>
    </w:p>
    <w:p w:rsidR="00254822" w:rsidP="00254822" w:rsidRDefault="00254822">
      <w:pPr>
        <w:jc w:val="both"/>
        <w:rPr>
          <w:b/>
        </w:rPr>
      </w:pPr>
      <w:r>
        <w:rPr>
          <w:b/>
        </w:rPr>
        <w:tab/>
      </w:r>
    </w:p>
    <w:p w:rsidR="00254822" w:rsidP="00254822" w:rsidRDefault="00254822">
      <w:pPr>
        <w:ind w:left="255"/>
        <w:jc w:val="both"/>
      </w:pPr>
      <w:r w:rsidRPr="009405AE">
        <w:t xml:space="preserve">Privremeno vjerovničko vijeće održalo je </w:t>
      </w:r>
      <w:r>
        <w:t>tri</w:t>
      </w:r>
      <w:r w:rsidRPr="009405AE">
        <w:t xml:space="preserve"> sjednic</w:t>
      </w:r>
      <w:r>
        <w:t xml:space="preserve">e u razdoblju koje je predmet ovog izvješća </w:t>
      </w:r>
      <w:r w:rsidRPr="009405AE">
        <w:t xml:space="preserve">na kojima </w:t>
      </w:r>
      <w:r>
        <w:t>su članovi vijeća redovito obavještavani o tijeku implementacije Nagodbe i o svim relevantnim događajima u vezi Agrokora.</w:t>
      </w:r>
    </w:p>
    <w:p w:rsidR="00254822" w:rsidP="00254822" w:rsidRDefault="00254822">
      <w:pPr>
        <w:ind w:left="255"/>
        <w:jc w:val="both"/>
        <w:rPr>
          <w:b/>
        </w:rPr>
      </w:pPr>
    </w:p>
    <w:p w:rsidR="00254822" w:rsidP="00254822" w:rsidRDefault="00254822">
      <w:pPr>
        <w:spacing w:line="276" w:lineRule="auto"/>
        <w:ind w:left="255"/>
        <w:jc w:val="both"/>
      </w:pPr>
      <w:r>
        <w:t xml:space="preserve">Na </w:t>
      </w:r>
      <w:r w:rsidRPr="009405AE">
        <w:t>sjednic</w:t>
      </w:r>
      <w:r>
        <w:t>i</w:t>
      </w:r>
      <w:r w:rsidRPr="009405AE">
        <w:t xml:space="preserve"> dana 4. srpnja 2019. godine članovima </w:t>
      </w:r>
      <w:r>
        <w:t xml:space="preserve">je </w:t>
      </w:r>
      <w:r w:rsidRPr="009405AE">
        <w:t xml:space="preserve">prezentiran status implementacije Nagodbe. Ukratko, članovi su obaviješteni kako su sve aktivnosti provedene unutar planiranih rokova. Sve dozvole od materijalne važnosti prenesene su na Novu grupu. Nadalje, sve koncesije </w:t>
      </w:r>
      <w:r>
        <w:t xml:space="preserve">također </w:t>
      </w:r>
      <w:r w:rsidRPr="009405AE">
        <w:t xml:space="preserve">su </w:t>
      </w:r>
      <w:r>
        <w:t>prenesene</w:t>
      </w:r>
      <w:r w:rsidRPr="009405AE">
        <w:t xml:space="preserve">. </w:t>
      </w:r>
    </w:p>
    <w:p w:rsidRPr="009405AE" w:rsidR="00254822" w:rsidP="00254822" w:rsidRDefault="00254822">
      <w:pPr>
        <w:spacing w:line="276" w:lineRule="auto"/>
        <w:ind w:left="255"/>
        <w:jc w:val="both"/>
      </w:pPr>
    </w:p>
    <w:p w:rsidRPr="009405AE" w:rsidR="00254822" w:rsidP="00254822" w:rsidRDefault="00254822">
      <w:pPr>
        <w:spacing w:line="276" w:lineRule="auto"/>
        <w:ind w:left="255"/>
        <w:jc w:val="both"/>
      </w:pPr>
      <w:r w:rsidRPr="009405AE">
        <w:t>Privremeno vjerovničko vijeće održalo je sjednicu dana 4. rujna 2019. godine na kojoj se odlučivalo o davanju suglasnosti izvanrednom povjereniku na preuzimanje novog jamstva Stare grupe za novo financiranje koju suglasnost je Privremeno vjerovničko vijeće dalo većinom glasova svojih članova.</w:t>
      </w:r>
    </w:p>
    <w:p w:rsidRPr="009405AE" w:rsidR="00254822" w:rsidP="00254822" w:rsidRDefault="00254822">
      <w:pPr>
        <w:spacing w:line="276" w:lineRule="auto"/>
        <w:ind w:left="255"/>
        <w:jc w:val="both"/>
      </w:pPr>
    </w:p>
    <w:p w:rsidRPr="009405AE" w:rsidR="00254822" w:rsidP="00254822" w:rsidRDefault="00254822">
      <w:pPr>
        <w:spacing w:line="276" w:lineRule="auto"/>
        <w:ind w:left="255"/>
        <w:jc w:val="both"/>
      </w:pPr>
      <w:r w:rsidRPr="009405AE">
        <w:t xml:space="preserve">Konkretno, Stara grupa jamči za obveznice </w:t>
      </w:r>
      <w:r>
        <w:t xml:space="preserve">koje je izdala Fortenova grupa </w:t>
      </w:r>
      <w:r w:rsidRPr="009405AE">
        <w:t>u iznosu od 1,157 milijarde eura čime je zaključen proces refinanciranja Ugovora o najstarijem zajmu od 8. lipnja 2017. godine (SPFA zajam). Novo financiranje strukturirano je kao četverogodišnja obveznica u iznosu do 1,157 milijarde eura s kamatnom stopom od 7,3 posto plus EURIBOR, uz donju granicu od 1 posto, a financiranje predvodi HPS Investment Partners u suradnji s VTB bankom. U okviru postignutog dogovora o refinanciranju, kamatna stopa će se sukcesivno snižavati kako Fortenova grupa bude smanjivala omjer duga i dobiti iz operativnog poslovanja.</w:t>
      </w:r>
    </w:p>
    <w:p w:rsidR="00254822" w:rsidP="00254822" w:rsidRDefault="00254822">
      <w:pPr>
        <w:ind w:left="284"/>
        <w:jc w:val="both"/>
        <w:rPr>
          <w:b/>
        </w:rPr>
      </w:pPr>
    </w:p>
    <w:p w:rsidR="00254822" w:rsidP="00254822" w:rsidRDefault="00254822">
      <w:pPr>
        <w:spacing w:line="276" w:lineRule="auto"/>
        <w:ind w:left="255"/>
        <w:jc w:val="both"/>
      </w:pPr>
      <w:r>
        <w:t xml:space="preserve">Na </w:t>
      </w:r>
      <w:r w:rsidRPr="009405AE">
        <w:t>sjednic</w:t>
      </w:r>
      <w:r>
        <w:t xml:space="preserve">i koja </w:t>
      </w:r>
      <w:r w:rsidRPr="009405AE">
        <w:t>je održana 23. prosinca 2019.  godine</w:t>
      </w:r>
      <w:r>
        <w:t xml:space="preserve">, </w:t>
      </w:r>
      <w:r w:rsidRPr="009405AE">
        <w:t xml:space="preserve">članovi su obaviješteni o tijeku postupka u Republici Sloveniji (vezano za dionice društva Mercator d.d. u vlasništvu Agrokora), inicijalnom iznosu transakcije (EUR 12,000,000.00) koja je predmet postupka radi navodne neprijave koncentracije te kako je do njega došlo, uz zaključak kako rješavanje predmetnog postupka u korist Agrokora predstavlja jedan od zadnjih većih koraka prema potpunoj finalizaciji Nagodbe. U okviru izlaganja članovi su izvješteni i kako Agrokor u navedenom predmetu zastupa najveće odvjetničko društvo u Sloveniji Rojs Peljhan Prelesnik &amp; partneri, kao i odvjetnički ured Zdolšek. Isto tako, naglasilo se kako je zbog neutemeljenog oduzimanja Mercatorovih dionica Agrokor prijavio </w:t>
      </w:r>
      <w:r w:rsidRPr="009405AE">
        <w:rPr>
          <w:rFonts w:eastAsia="Calibri"/>
          <w:lang w:eastAsia="zh-CN"/>
        </w:rPr>
        <w:t>Agenciju za zaštitu tržišnog natjecanja Republike Slovenije</w:t>
      </w:r>
      <w:r w:rsidRPr="009405AE">
        <w:t xml:space="preserve"> tijelima Europske komisije, te o trenutnoj situaciji i problemima dopisom obavijestio Veleposlanstva u Sloveniji. Iznijelo se i kako je nastanak eventualnih negativnih posljedica za potencijalni proces financiranja Fortenova grupe od strane novih kreditora pod kontrolom te kako Fortenova grupa s istima ostvaruje suradnju u rješavanju problema u Republici Sloveniji.</w:t>
      </w:r>
    </w:p>
    <w:p w:rsidR="00254822" w:rsidP="00254822" w:rsidRDefault="00254822">
      <w:pPr>
        <w:spacing w:line="276" w:lineRule="auto"/>
        <w:ind w:left="255"/>
        <w:jc w:val="both"/>
      </w:pPr>
    </w:p>
    <w:p w:rsidRPr="009405AE" w:rsidR="00254822" w:rsidP="00254822" w:rsidRDefault="00254822">
      <w:pPr>
        <w:spacing w:line="276" w:lineRule="auto"/>
        <w:ind w:left="255"/>
        <w:jc w:val="both"/>
      </w:pPr>
      <w:r>
        <w:t xml:space="preserve">Sjednica </w:t>
      </w:r>
      <w:r w:rsidRPr="00DF6829">
        <w:t>Privremeno</w:t>
      </w:r>
      <w:r>
        <w:t>g</w:t>
      </w:r>
      <w:r w:rsidRPr="00DF6829">
        <w:t xml:space="preserve"> vjerovničko</w:t>
      </w:r>
      <w:r>
        <w:t>g</w:t>
      </w:r>
      <w:r w:rsidRPr="00DF6829">
        <w:t xml:space="preserve"> vijeć</w:t>
      </w:r>
      <w:r>
        <w:t>a planirana je za travanj 2020. godine, međutim odgođena je s obzirom na pandemiju Covid-19. Sljedeća sjednica održat će se tijekom ljeta 2020. godine.</w:t>
      </w:r>
    </w:p>
    <w:p w:rsidR="00254822" w:rsidP="00254822" w:rsidRDefault="00254822"/>
    <w:p w:rsidRPr="00CC3A16" w:rsidR="00254822" w:rsidP="00254822" w:rsidRDefault="00254822">
      <w:pPr>
        <w:ind w:left="284"/>
      </w:pPr>
      <w:r>
        <w:t>Izvještaj pripremio</w:t>
      </w:r>
      <w:r w:rsidRPr="00CC3A16">
        <w:t>:</w:t>
      </w:r>
    </w:p>
    <w:p w:rsidRPr="00CC3A16" w:rsidR="00254822" w:rsidP="00254822" w:rsidRDefault="00254822">
      <w:pPr>
        <w:ind w:left="284"/>
      </w:pPr>
    </w:p>
    <w:p w:rsidRPr="00CC3A16" w:rsidR="00254822" w:rsidP="00254822" w:rsidRDefault="00254822">
      <w:pPr>
        <w:ind w:left="284"/>
      </w:pPr>
    </w:p>
    <w:p w:rsidR="00254822" w:rsidP="00254822" w:rsidRDefault="00254822">
      <w:pPr>
        <w:ind w:left="284"/>
      </w:pPr>
      <w:r w:rsidRPr="00CC3A16">
        <w:t xml:space="preserve">Fabris Peruško                                                 </w:t>
      </w:r>
      <w:r>
        <w:t xml:space="preserve"> </w:t>
      </w:r>
      <w:r>
        <w:tab/>
      </w:r>
    </w:p>
    <w:p w:rsidRPr="00CC3A16" w:rsidR="00254822" w:rsidP="00254822" w:rsidRDefault="00254822">
      <w:pPr>
        <w:ind w:firstLine="284"/>
      </w:pPr>
      <w:r w:rsidRPr="00CC3A16">
        <w:t xml:space="preserve">izvanredni povjerenik                                         </w:t>
      </w:r>
      <w:r>
        <w:tab/>
      </w:r>
    </w:p>
    <w:p w:rsidRPr="009405AE" w:rsidR="00254822" w:rsidP="00254822" w:rsidRDefault="00254822">
      <w:pPr>
        <w:ind w:firstLine="284"/>
      </w:pPr>
      <w:r w:rsidRPr="00CC3A16">
        <w:t xml:space="preserve">Agrokor d.d.                                                       </w:t>
      </w:r>
      <w:r>
        <w:tab/>
      </w:r>
    </w:p>
    <w:p w:rsidRPr="0075577E" w:rsidR="0075577E" w:rsidP="00BE5BDA" w:rsidRDefault="0075577E">
      <w:pPr>
        <w:rPr>
          <w:b/>
        </w:rPr>
      </w:pPr>
    </w:p>
    <w:sectPr w:rsidRPr="0075577E" w:rsidR="0075577E" w:rsidSect="00CD7BC8"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C69C0" w:rsidRDefault="00400844">
      <w:r>
        <w:separator/>
      </w:r>
    </w:p>
  </w:endnote>
  <w:endnote w:type="continuationSeparator" w:id="0">
    <w:p w:rsidR="00BC69C0" w:rsidRDefault="004008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177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4822" w:rsidRDefault="0025482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91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54822" w:rsidRDefault="00254822">
    <w:pPr>
      <w:pStyle w:val="Tijeloteksta"/>
      <w:spacing w:line="14" w:lineRule="auto"/>
      <w:rPr>
        <w:sz w:val="14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C69C0" w:rsidRDefault="00400844">
      <w:r>
        <w:separator/>
      </w:r>
    </w:p>
  </w:footnote>
  <w:footnote w:type="continuationSeparator" w:id="0">
    <w:p w:rsidR="00BC69C0" w:rsidRDefault="004008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4822" w:rsidRDefault="00254822">
    <w:pPr>
      <w:pStyle w:val="Tijeloteksta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false" relativeHeight="251659264" behindDoc="true" locked="false" layoutInCell="true" allowOverlap="true">
          <wp:simplePos x="0" y="0"/>
          <wp:positionH relativeFrom="page">
            <wp:posOffset>900430</wp:posOffset>
          </wp:positionH>
          <wp:positionV relativeFrom="page">
            <wp:posOffset>450214</wp:posOffset>
          </wp:positionV>
          <wp:extent cx="1800225" cy="619125"/>
          <wp:effectExtent l="0" t="0" r="0" b="0"/>
          <wp:wrapNone/>
          <wp:docPr id="4" name="image1.jpeg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cstate="print" r:embed="rId1"/>
                  <a:stretch>
                    <a:fillRect/>
                  </a:stretch>
                </pic:blipFill>
                <pic:spPr>
                  <a:xfrm>
                    <a:off x="0" y="0"/>
                    <a:ext cx="1800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D7BC8" w:rsidP="00CD7BC8" w:rsidRDefault="00865717">
    <w:pPr>
      <w:pStyle w:val="Zaglavlje"/>
      <w:tabs>
        <w:tab w:val="left" w:pos="7290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3919">
          <w:rPr>
            <w:noProof/>
          </w:rPr>
          <w:t>9</w:t>
        </w:r>
        <w:r>
          <w:fldChar w:fldCharType="end"/>
        </w:r>
      </w:sdtContent>
    </w:sdt>
    <w:r>
      <w:tab/>
      <w:t>90.</w:t>
    </w:r>
    <w:r w:rsidR="008458AF">
      <w:t>St-</w:t>
    </w:r>
    <w:r w:rsidR="002E302E">
      <w:t>4208</w:t>
    </w:r>
    <w:r w:rsidR="008458AF">
      <w:t>/2015.</w:t>
    </w:r>
  </w:p>
  <w:p w:rsidR="00CD7BC8" w:rsidRDefault="006C391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A5095"/>
    <w:multiLevelType w:val="hybridMultilevel"/>
    <w:tmpl w:val="FA0C3DFC"/>
    <w:lvl w:ilvl="0" w:tplc="BAD8967E">
      <w:start w:val="1"/>
      <w:numFmt w:val="decimal"/>
      <w:lvlText w:val="(%1)"/>
      <w:lvlJc w:val="left"/>
      <w:pPr>
        <w:ind w:left="627" w:hanging="372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35" w:hanging="360"/>
      </w:pPr>
    </w:lvl>
    <w:lvl w:ilvl="2" w:tplc="041A001B" w:tentative="true">
      <w:start w:val="1"/>
      <w:numFmt w:val="lowerRoman"/>
      <w:lvlText w:val="%3."/>
      <w:lvlJc w:val="right"/>
      <w:pPr>
        <w:ind w:left="2055" w:hanging="180"/>
      </w:pPr>
    </w:lvl>
    <w:lvl w:ilvl="3" w:tplc="041A000F" w:tentative="true">
      <w:start w:val="1"/>
      <w:numFmt w:val="decimal"/>
      <w:lvlText w:val="%4."/>
      <w:lvlJc w:val="left"/>
      <w:pPr>
        <w:ind w:left="2775" w:hanging="360"/>
      </w:pPr>
    </w:lvl>
    <w:lvl w:ilvl="4" w:tplc="041A0019" w:tentative="true">
      <w:start w:val="1"/>
      <w:numFmt w:val="lowerLetter"/>
      <w:lvlText w:val="%5."/>
      <w:lvlJc w:val="left"/>
      <w:pPr>
        <w:ind w:left="3495" w:hanging="360"/>
      </w:pPr>
    </w:lvl>
    <w:lvl w:ilvl="5" w:tplc="041A001B" w:tentative="true">
      <w:start w:val="1"/>
      <w:numFmt w:val="lowerRoman"/>
      <w:lvlText w:val="%6."/>
      <w:lvlJc w:val="right"/>
      <w:pPr>
        <w:ind w:left="4215" w:hanging="180"/>
      </w:pPr>
    </w:lvl>
    <w:lvl w:ilvl="6" w:tplc="041A000F" w:tentative="true">
      <w:start w:val="1"/>
      <w:numFmt w:val="decimal"/>
      <w:lvlText w:val="%7."/>
      <w:lvlJc w:val="left"/>
      <w:pPr>
        <w:ind w:left="4935" w:hanging="360"/>
      </w:pPr>
    </w:lvl>
    <w:lvl w:ilvl="7" w:tplc="041A0019" w:tentative="true">
      <w:start w:val="1"/>
      <w:numFmt w:val="lowerLetter"/>
      <w:lvlText w:val="%8."/>
      <w:lvlJc w:val="left"/>
      <w:pPr>
        <w:ind w:left="5655" w:hanging="360"/>
      </w:pPr>
    </w:lvl>
    <w:lvl w:ilvl="8" w:tplc="041A001B" w:tentative="true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AD2D41"/>
    <w:multiLevelType w:val="multilevel"/>
    <w:tmpl w:val="AF96A38C"/>
    <w:lvl w:ilvl="0">
      <w:start w:val="1"/>
      <w:numFmt w:val="decimal"/>
      <w:pStyle w:val="Naslov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1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pStyle w:val="Naslov3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slov41"/>
      <w:lvlText w:val="%1.%2.%3.%4."/>
      <w:lvlJc w:val="left"/>
      <w:pPr>
        <w:ind w:left="1021" w:firstLine="5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C545AEE"/>
    <w:multiLevelType w:val="hybridMultilevel"/>
    <w:tmpl w:val="EFAE7E6C"/>
    <w:lvl w:ilvl="0" w:tplc="2B22157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6473BB"/>
    <w:multiLevelType w:val="hybridMultilevel"/>
    <w:tmpl w:val="56F6737E"/>
    <w:lvl w:ilvl="0" w:tplc="41B88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C63F29"/>
    <w:multiLevelType w:val="hybridMultilevel"/>
    <w:tmpl w:val="64C0A4A6"/>
    <w:lvl w:ilvl="0" w:tplc="39A83262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35" w:hanging="360"/>
      </w:pPr>
    </w:lvl>
    <w:lvl w:ilvl="2" w:tplc="041A001B" w:tentative="true">
      <w:start w:val="1"/>
      <w:numFmt w:val="lowerRoman"/>
      <w:lvlText w:val="%3."/>
      <w:lvlJc w:val="right"/>
      <w:pPr>
        <w:ind w:left="2055" w:hanging="180"/>
      </w:pPr>
    </w:lvl>
    <w:lvl w:ilvl="3" w:tplc="041A000F" w:tentative="true">
      <w:start w:val="1"/>
      <w:numFmt w:val="decimal"/>
      <w:lvlText w:val="%4."/>
      <w:lvlJc w:val="left"/>
      <w:pPr>
        <w:ind w:left="2775" w:hanging="360"/>
      </w:pPr>
    </w:lvl>
    <w:lvl w:ilvl="4" w:tplc="041A0019" w:tentative="true">
      <w:start w:val="1"/>
      <w:numFmt w:val="lowerLetter"/>
      <w:lvlText w:val="%5."/>
      <w:lvlJc w:val="left"/>
      <w:pPr>
        <w:ind w:left="3495" w:hanging="360"/>
      </w:pPr>
    </w:lvl>
    <w:lvl w:ilvl="5" w:tplc="041A001B" w:tentative="true">
      <w:start w:val="1"/>
      <w:numFmt w:val="lowerRoman"/>
      <w:lvlText w:val="%6."/>
      <w:lvlJc w:val="right"/>
      <w:pPr>
        <w:ind w:left="4215" w:hanging="180"/>
      </w:pPr>
    </w:lvl>
    <w:lvl w:ilvl="6" w:tplc="041A000F" w:tentative="true">
      <w:start w:val="1"/>
      <w:numFmt w:val="decimal"/>
      <w:lvlText w:val="%7."/>
      <w:lvlJc w:val="left"/>
      <w:pPr>
        <w:ind w:left="4935" w:hanging="360"/>
      </w:pPr>
    </w:lvl>
    <w:lvl w:ilvl="7" w:tplc="041A0019" w:tentative="true">
      <w:start w:val="1"/>
      <w:numFmt w:val="lowerLetter"/>
      <w:lvlText w:val="%8."/>
      <w:lvlJc w:val="left"/>
      <w:pPr>
        <w:ind w:left="5655" w:hanging="360"/>
      </w:pPr>
    </w:lvl>
    <w:lvl w:ilvl="8" w:tplc="041A001B" w:tentative="true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76A1512A"/>
    <w:multiLevelType w:val="hybridMultilevel"/>
    <w:tmpl w:val="CC8CB64C"/>
    <w:lvl w:ilvl="0" w:tplc="AC1E8F7E">
      <w:numFmt w:val="bullet"/>
      <w:lvlText w:val="•"/>
      <w:lvlJc w:val="left"/>
      <w:pPr>
        <w:ind w:left="975" w:hanging="360"/>
      </w:pPr>
      <w:rPr>
        <w:rFonts w:hint="default"/>
        <w:lang w:val="hr-HR" w:eastAsia="hr-HR" w:bidi="hr-HR"/>
      </w:rPr>
    </w:lvl>
    <w:lvl w:ilvl="1" w:tplc="041A0003" w:tentative="true">
      <w:start w:val="1"/>
      <w:numFmt w:val="bullet"/>
      <w:lvlText w:val="o"/>
      <w:lvlJc w:val="left"/>
      <w:pPr>
        <w:ind w:left="169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1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3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5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7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9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1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73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9BC"/>
    <w:rsid w:val="00004BE2"/>
    <w:rsid w:val="00022F7B"/>
    <w:rsid w:val="0004421E"/>
    <w:rsid w:val="0004747A"/>
    <w:rsid w:val="00061334"/>
    <w:rsid w:val="000710B7"/>
    <w:rsid w:val="00076323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54822"/>
    <w:rsid w:val="00277826"/>
    <w:rsid w:val="002A3ED2"/>
    <w:rsid w:val="002E302E"/>
    <w:rsid w:val="002F7912"/>
    <w:rsid w:val="00317445"/>
    <w:rsid w:val="003245C6"/>
    <w:rsid w:val="003510CF"/>
    <w:rsid w:val="00356ABD"/>
    <w:rsid w:val="003609F8"/>
    <w:rsid w:val="00372AAE"/>
    <w:rsid w:val="003D692E"/>
    <w:rsid w:val="003E3507"/>
    <w:rsid w:val="00400844"/>
    <w:rsid w:val="00407DE7"/>
    <w:rsid w:val="00426BAD"/>
    <w:rsid w:val="004272E0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A7807"/>
    <w:rsid w:val="006B148C"/>
    <w:rsid w:val="006B426D"/>
    <w:rsid w:val="006C3919"/>
    <w:rsid w:val="006E1A74"/>
    <w:rsid w:val="0075577E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 w:qFormat="true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1" w:qFormat="true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6520E"/>
    <w:pPr>
      <w:spacing w:after="0" w:line="240" w:lineRule="auto"/>
    </w:pPr>
    <w:rPr>
      <w:rFonts w:eastAsia="Times New Roman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6520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6520E"/>
    <w:rPr>
      <w:rFonts w:eastAsia="Times New Roman" w:cs="Times New Roman"/>
      <w:lang w:eastAsia="hr-HR"/>
    </w:rPr>
  </w:style>
  <w:style w:type="paragraph" w:styleId="Odlomakpopisa">
    <w:name w:val="List Paragraph"/>
    <w:basedOn w:val="Normal"/>
    <w:uiPriority w:val="34"/>
    <w:qFormat/>
    <w:rsid w:val="00201E7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008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0844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58A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458AF"/>
    <w:rPr>
      <w:rFonts w:eastAsia="Times New Roman" w:cs="Times New Roman"/>
      <w:lang w:eastAsia="hr-HR"/>
    </w:rPr>
  </w:style>
  <w:style w:type="paragraph" w:styleId="BodyText21" w:customStyle="true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character" w:styleId="Tekstrezerviranogmjesta">
    <w:name w:val="Placeholder Text"/>
    <w:basedOn w:val="Zadanifontodlomka"/>
    <w:uiPriority w:val="99"/>
    <w:semiHidden/>
    <w:rsid w:val="000763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632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632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632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632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Sadraj1">
    <w:name w:val="toc 1"/>
    <w:basedOn w:val="Normal"/>
    <w:uiPriority w:val="39"/>
    <w:qFormat/>
    <w:rsid w:val="00254822"/>
    <w:pPr>
      <w:widowControl w:val="false"/>
      <w:autoSpaceDE w:val="false"/>
      <w:autoSpaceDN w:val="false"/>
      <w:spacing w:before="135"/>
      <w:ind w:left="671" w:hanging="554"/>
    </w:pPr>
    <w:rPr>
      <w:rFonts w:ascii="Arial" w:hAnsi="Arial" w:eastAsia="Arial" w:cs="Arial"/>
      <w:b/>
      <w:bCs/>
      <w:sz w:val="20"/>
      <w:szCs w:val="20"/>
      <w:lang w:bidi="hr-HR"/>
    </w:rPr>
  </w:style>
  <w:style w:type="paragraph" w:styleId="Tijeloteksta">
    <w:name w:val="Body Text"/>
    <w:basedOn w:val="Normal"/>
    <w:link w:val="TijelotekstaChar"/>
    <w:uiPriority w:val="1"/>
    <w:qFormat/>
    <w:rsid w:val="00254822"/>
    <w:pPr>
      <w:widowControl w:val="false"/>
      <w:autoSpaceDE w:val="false"/>
      <w:autoSpaceDN w:val="false"/>
    </w:pPr>
    <w:rPr>
      <w:rFonts w:ascii="Arial" w:hAnsi="Arial" w:eastAsia="Arial" w:cs="Arial"/>
      <w:lang w:bidi="hr-HR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254822"/>
    <w:rPr>
      <w:rFonts w:ascii="Arial" w:hAnsi="Arial" w:eastAsia="Arial" w:cs="Arial"/>
      <w:lang w:eastAsia="hr-HR" w:bidi="hr-HR"/>
    </w:rPr>
  </w:style>
  <w:style w:type="character" w:styleId="Hiperveza">
    <w:name w:val="Hyperlink"/>
    <w:basedOn w:val="Zadanifontodlomka"/>
    <w:uiPriority w:val="99"/>
    <w:unhideWhenUsed/>
    <w:rsid w:val="00254822"/>
    <w:rPr>
      <w:color w:val="0000FF" w:themeColor="hyperlink"/>
      <w:u w:val="single"/>
    </w:rPr>
  </w:style>
  <w:style w:type="paragraph" w:styleId="Naslov11" w:customStyle="true">
    <w:name w:val="Naslov 11"/>
    <w:basedOn w:val="Odlomakpopisa"/>
    <w:link w:val="Naslov1Char"/>
    <w:uiPriority w:val="1"/>
    <w:qFormat/>
    <w:rsid w:val="00254822"/>
    <w:pPr>
      <w:widowControl w:val="false"/>
      <w:numPr>
        <w:numId w:val="6"/>
      </w:numPr>
      <w:autoSpaceDE w:val="false"/>
      <w:autoSpaceDN w:val="false"/>
      <w:contextualSpacing w:val="false"/>
    </w:pPr>
    <w:rPr>
      <w:rFonts w:ascii="Arial" w:hAnsi="Arial" w:eastAsia="Arial" w:cs="Arial"/>
      <w:b/>
      <w:sz w:val="32"/>
      <w:szCs w:val="22"/>
      <w:lang w:bidi="hr-HR"/>
    </w:rPr>
  </w:style>
  <w:style w:type="paragraph" w:styleId="Naslov21" w:customStyle="true">
    <w:name w:val="Naslov 21"/>
    <w:basedOn w:val="Naslov11"/>
    <w:uiPriority w:val="1"/>
    <w:qFormat/>
    <w:rsid w:val="00254822"/>
    <w:pPr>
      <w:numPr>
        <w:ilvl w:val="1"/>
      </w:numPr>
      <w:tabs>
        <w:tab w:val="num" w:pos="360"/>
      </w:tabs>
      <w:ind w:left="1440" w:hanging="360"/>
    </w:pPr>
    <w:rPr>
      <w:sz w:val="28"/>
    </w:rPr>
  </w:style>
  <w:style w:type="character" w:styleId="Naslov1Char" w:customStyle="true">
    <w:name w:val="Naslov 1 Char"/>
    <w:basedOn w:val="Zadanifontodlomka"/>
    <w:link w:val="Naslov11"/>
    <w:uiPriority w:val="1"/>
    <w:rsid w:val="00254822"/>
    <w:rPr>
      <w:rFonts w:ascii="Arial" w:hAnsi="Arial" w:eastAsia="Arial" w:cs="Arial"/>
      <w:b/>
      <w:sz w:val="32"/>
      <w:szCs w:val="22"/>
      <w:lang w:eastAsia="hr-HR" w:bidi="hr-HR"/>
    </w:rPr>
  </w:style>
  <w:style w:type="paragraph" w:styleId="Naslov31" w:customStyle="true">
    <w:name w:val="Naslov 31"/>
    <w:basedOn w:val="Naslov11"/>
    <w:uiPriority w:val="1"/>
    <w:qFormat/>
    <w:rsid w:val="00254822"/>
    <w:pPr>
      <w:numPr>
        <w:ilvl w:val="2"/>
      </w:numPr>
      <w:tabs>
        <w:tab w:val="num" w:pos="360"/>
      </w:tabs>
      <w:ind w:left="2160" w:hanging="360"/>
    </w:pPr>
    <w:rPr>
      <w:sz w:val="24"/>
    </w:rPr>
  </w:style>
  <w:style w:type="paragraph" w:styleId="Naslov41" w:customStyle="true">
    <w:name w:val="Naslov 41"/>
    <w:basedOn w:val="Naslov31"/>
    <w:uiPriority w:val="1"/>
    <w:qFormat/>
    <w:rsid w:val="00254822"/>
    <w:pPr>
      <w:numPr>
        <w:ilvl w:val="3"/>
      </w:numPr>
      <w:tabs>
        <w:tab w:val="num" w:pos="360"/>
      </w:tabs>
      <w:ind w:left="2880" w:hanging="36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76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Sadraj1" w:type="paragraph">
    <w:name w:val="toc 1"/>
    <w:basedOn w:val="Normal"/>
    <w:uiPriority w:val="39"/>
    <w:qFormat/>
    <w:rsid w:val="00254822"/>
    <w:pPr>
      <w:widowControl w:val="0"/>
      <w:autoSpaceDE w:val="0"/>
      <w:autoSpaceDN w:val="0"/>
      <w:spacing w:before="135"/>
      <w:ind w:hanging="554" w:left="671"/>
    </w:pPr>
    <w:rPr>
      <w:rFonts w:ascii="Arial" w:cs="Arial" w:eastAsia="Arial" w:hAnsi="Arial"/>
      <w:b/>
      <w:bCs/>
      <w:sz w:val="20"/>
      <w:szCs w:val="20"/>
      <w:lang w:bidi="hr-HR"/>
    </w:rPr>
  </w:style>
  <w:style w:styleId="Tijeloteksta" w:type="paragraph">
    <w:name w:val="Body Text"/>
    <w:basedOn w:val="Normal"/>
    <w:link w:val="TijelotekstaChar"/>
    <w:uiPriority w:val="1"/>
    <w:qFormat/>
    <w:rsid w:val="00254822"/>
    <w:pPr>
      <w:widowControl w:val="0"/>
      <w:autoSpaceDE w:val="0"/>
      <w:autoSpaceDN w:val="0"/>
    </w:pPr>
    <w:rPr>
      <w:rFonts w:ascii="Arial" w:cs="Arial" w:eastAsia="Arial" w:hAnsi="Arial"/>
      <w:lang w:bidi="hr-HR"/>
    </w:rPr>
  </w:style>
  <w:style w:customStyle="1" w:styleId="TijelotekstaChar" w:type="character">
    <w:name w:val="Tijelo teksta Char"/>
    <w:basedOn w:val="Zadanifontodlomka"/>
    <w:link w:val="Tijeloteksta"/>
    <w:uiPriority w:val="1"/>
    <w:rsid w:val="00254822"/>
    <w:rPr>
      <w:rFonts w:ascii="Arial" w:cs="Arial" w:eastAsia="Arial" w:hAnsi="Arial"/>
      <w:lang w:bidi="hr-HR" w:eastAsia="hr-HR"/>
    </w:rPr>
  </w:style>
  <w:style w:styleId="Hiperveza" w:type="character">
    <w:name w:val="Hyperlink"/>
    <w:basedOn w:val="Zadanifontodlomka"/>
    <w:uiPriority w:val="99"/>
    <w:unhideWhenUsed/>
    <w:rsid w:val="00254822"/>
    <w:rPr>
      <w:color w:themeColor="hyperlink" w:val="0000FF"/>
      <w:u w:val="single"/>
    </w:rPr>
  </w:style>
  <w:style w:customStyle="1" w:styleId="Naslov11" w:type="paragraph">
    <w:name w:val="Naslov 11"/>
    <w:basedOn w:val="Odlomakpopisa"/>
    <w:link w:val="Naslov1Char"/>
    <w:uiPriority w:val="1"/>
    <w:qFormat/>
    <w:rsid w:val="00254822"/>
    <w:pPr>
      <w:widowControl w:val="0"/>
      <w:numPr>
        <w:numId w:val="6"/>
      </w:numPr>
      <w:autoSpaceDE w:val="0"/>
      <w:autoSpaceDN w:val="0"/>
      <w:contextualSpacing w:val="0"/>
    </w:pPr>
    <w:rPr>
      <w:rFonts w:ascii="Arial" w:cs="Arial" w:eastAsia="Arial" w:hAnsi="Arial"/>
      <w:b/>
      <w:sz w:val="32"/>
      <w:szCs w:val="22"/>
      <w:lang w:bidi="hr-HR"/>
    </w:rPr>
  </w:style>
  <w:style w:customStyle="1" w:styleId="Naslov21" w:type="paragraph">
    <w:name w:val="Naslov 21"/>
    <w:basedOn w:val="Naslov11"/>
    <w:uiPriority w:val="1"/>
    <w:qFormat/>
    <w:rsid w:val="00254822"/>
    <w:pPr>
      <w:numPr>
        <w:ilvl w:val="1"/>
      </w:numPr>
      <w:tabs>
        <w:tab w:pos="360" w:val="num"/>
      </w:tabs>
      <w:ind w:hanging="360" w:left="1440"/>
    </w:pPr>
    <w:rPr>
      <w:sz w:val="28"/>
    </w:rPr>
  </w:style>
  <w:style w:customStyle="1" w:styleId="Naslov1Char" w:type="character">
    <w:name w:val="Naslov 1 Char"/>
    <w:basedOn w:val="Zadanifontodlomka"/>
    <w:link w:val="Naslov11"/>
    <w:uiPriority w:val="1"/>
    <w:rsid w:val="00254822"/>
    <w:rPr>
      <w:rFonts w:ascii="Arial" w:cs="Arial" w:eastAsia="Arial" w:hAnsi="Arial"/>
      <w:b/>
      <w:sz w:val="32"/>
      <w:szCs w:val="22"/>
      <w:lang w:bidi="hr-HR" w:eastAsia="hr-HR"/>
    </w:rPr>
  </w:style>
  <w:style w:customStyle="1" w:styleId="Naslov31" w:type="paragraph">
    <w:name w:val="Naslov 31"/>
    <w:basedOn w:val="Naslov11"/>
    <w:uiPriority w:val="1"/>
    <w:qFormat/>
    <w:rsid w:val="00254822"/>
    <w:pPr>
      <w:numPr>
        <w:ilvl w:val="2"/>
      </w:numPr>
      <w:tabs>
        <w:tab w:pos="360" w:val="num"/>
      </w:tabs>
      <w:ind w:hanging="360" w:left="2160"/>
    </w:pPr>
    <w:rPr>
      <w:sz w:val="24"/>
    </w:rPr>
  </w:style>
  <w:style w:customStyle="1" w:styleId="Naslov41" w:type="paragraph">
    <w:name w:val="Naslov 41"/>
    <w:basedOn w:val="Naslov31"/>
    <w:uiPriority w:val="1"/>
    <w:qFormat/>
    <w:rsid w:val="00254822"/>
    <w:pPr>
      <w:numPr>
        <w:ilvl w:val="3"/>
      </w:numPr>
      <w:tabs>
        <w:tab w:pos="360" w:val="num"/>
      </w:tabs>
      <w:ind w:hanging="360" w:left="2880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1.xml.rels><?xml version="1.0" encoding="UTF-8" standalone="yes"?><Relationships xmlns="http://schemas.openxmlformats.org/package/2006/relationships"><Relationship Target="media/image1.jpe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4208</izvorni_sadrzaj>
    <derivirana_varijabla naziv="DomainObject.Predmet.Broj_1">4208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St-4208/2015</izvorni_sadrzaj>
    <derivirana_varijabla naziv="DomainObject.Predmet.OznakaBroj_1">St-4208/2015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SKITNICA d.o.o.</izvorni_sadrzaj>
    <derivirana_varijabla naziv="DomainObject.Predmet.ProtustrankaFormated_1">  SKITNICA d.o.o.</derivirana_varijabla>
  </DomainObject.Predmet.ProtustrankaFormated>
  <DomainObject.Predmet.ProtustrankaFormatedOIB>
    <izvorni_sadrzaj>  SKITNICA d.o.o., OIB 68948338156</izvorni_sadrzaj>
    <derivirana_varijabla naziv="DomainObject.Predmet.ProtustrankaFormatedOIB_1">  SKITNICA d.o.o., OIB 68948338156</derivirana_varijabla>
  </DomainObject.Predmet.ProtustrankaFormatedOIB>
  <DomainObject.Predmet.ProtustrankaFormatedWithAdress>
    <izvorni_sadrzaj> SKITNICA d.o.o., Trg Matije Gupca 25, 49240 Donja Stubica</izvorni_sadrzaj>
    <derivirana_varijabla naziv="DomainObject.Predmet.ProtustrankaFormatedWithAdress_1"> SKITNICA d.o.o., Trg Matije Gupca 25, 49240 Donja Stubica</derivirana_varijabla>
  </DomainObject.Predmet.ProtustrankaFormatedWithAdress>
  <DomainObject.Predmet.ProtustrankaFormatedWithAdressOIB>
    <izvorni_sadrzaj> SKITNICA d.o.o., OIB 68948338156, Trg Matije Gupca 25, 49240 Donja Stubica</izvorni_sadrzaj>
    <derivirana_varijabla naziv="DomainObject.Predmet.ProtustrankaFormatedWithAdressOIB_1"> SKITNICA d.o.o., OIB 68948338156, Trg Matije Gupca 25, 49240 Donja Stubica</derivirana_varijabla>
  </DomainObject.Predmet.ProtustrankaFormatedWithAdressOIB>
  <DomainObject.Predmet.ProtustrankaWithAdress>
    <izvorni_sadrzaj>SKITNICA d.o.o. Trg Matije Gupca 25, 49240 Donja Stubica</izvorni_sadrzaj>
    <derivirana_varijabla naziv="DomainObject.Predmet.ProtustrankaWithAdress_1">SKITNICA d.o.o. Trg Matije Gupca 25, 49240 Donja Stubica</derivirana_varijabla>
  </DomainObject.Predmet.ProtustrankaWithAdress>
  <DomainObject.Predmet.ProtustrankaWithAdressOIB>
    <izvorni_sadrzaj>SKITNICA d.o.o., OIB 68948338156, Trg Matije Gupca 25, 49240 Donja Stubica</izvorni_sadrzaj>
    <derivirana_varijabla naziv="DomainObject.Predmet.ProtustrankaWithAdressOIB_1">SKITNICA d.o.o., OIB 68948338156, Trg Matije Gupca 25, 49240 Donja Stubica</derivirana_varijabla>
  </DomainObject.Predmet.ProtustrankaWithAdressOIB>
  <DomainObject.Predmet.ProtustrankaNazivFormated>
    <izvorni_sadrzaj>SKITNICA d.o.o.</izvorni_sadrzaj>
    <derivirana_varijabla naziv="DomainObject.Predmet.ProtustrankaNazivFormated_1">SKITNICA d.o.o.</derivirana_varijabla>
  </DomainObject.Predmet.ProtustrankaNazivFormated>
  <DomainObject.Predmet.ProtustrankaNazivFormatedOIB>
    <izvorni_sadrzaj>SKITNICA d.o.o., OIB 68948338156</izvorni_sadrzaj>
    <derivirana_varijabla naziv="DomainObject.Predmet.ProtustrankaNazivFormatedOIB_1">SKITNICA d.o.o., OIB 68948338156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SKITNICA d.o.o.</item>
    </izvorni_sadrzaj>
    <derivirana_varijabla naziv="DomainObject.Predmet.ProtuStrankaListFormated_1">
      <item>SKITNICA d.o.o.</item>
    </derivirana_varijabla>
  </DomainObject.Predmet.ProtuStrankaListFormated>
  <DomainObject.Predmet.ProtuStrankaListFormatedOIB>
    <izvorni_sadrzaj>
      <item>SKITNICA d.o.o., OIB 68948338156</item>
    </izvorni_sadrzaj>
    <derivirana_varijabla naziv="DomainObject.Predmet.ProtuStrankaListFormatedOIB_1">
      <item>SKITNICA d.o.o., OIB 68948338156</item>
    </derivirana_varijabla>
  </DomainObject.Predmet.ProtuStrankaListFormatedOIB>
  <DomainObject.Predmet.ProtuStrankaListFormatedWithAdress>
    <izvorni_sadrzaj>
      <item>SKITNICA d.o.o., Trg Matije Gupca 25, 49240 Donja Stubica</item>
    </izvorni_sadrzaj>
    <derivirana_varijabla naziv="DomainObject.Predmet.ProtuStrankaListFormatedWithAdress_1">
      <item>SKITNICA d.o.o., Trg Matije Gupca 25, 49240 Donja Stubica</item>
    </derivirana_varijabla>
  </DomainObject.Predmet.ProtuStrankaListFormatedWithAdress>
  <DomainObject.Predmet.ProtuStrankaListFormatedWithAdressOIB>
    <izvorni_sadrzaj>
      <item>SKITNICA d.o.o., OIB 68948338156, Trg Matije Gupca 25, 49240 Donja Stubica</item>
    </izvorni_sadrzaj>
    <derivirana_varijabla naziv="DomainObject.Predmet.ProtuStrankaListFormatedWithAdressOIB_1">
      <item>SKITNICA d.o.o., OIB 68948338156, Trg Matije Gupca 25, 49240 Donja Stubica</item>
    </derivirana_varijabla>
  </DomainObject.Predmet.ProtuStrankaListFormatedWithAdressOIB>
  <DomainObject.Predmet.ProtuStrankaListNazivFormated>
    <izvorni_sadrzaj>
      <item>SKITNICA d.o.o.</item>
    </izvorni_sadrzaj>
    <derivirana_varijabla naziv="DomainObject.Predmet.ProtuStrankaListNazivFormated_1">
      <item>SKITNICA d.o.o.</item>
    </derivirana_varijabla>
  </DomainObject.Predmet.ProtuStrankaListNazivFormated>
  <DomainObject.Predmet.ProtuStrankaListNazivFormatedOIB>
    <izvorni_sadrzaj>
      <item>SKITNICA d.o.o., OIB 68948338156</item>
    </izvorni_sadrzaj>
    <derivirana_varijabla naziv="DomainObject.Predmet.ProtuStrankaListNazivFormatedOIB_1">
      <item>SKITNICA d.o.o., OIB 68948338156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SKITNICA d.o.o.</izvorni_sadrzaj>
    <derivirana_varijabla naziv="DomainObject.Predmet.ProtustrankaIDrugi_1">SKITNICA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SKITNICA d.o.o., OIB 68948338156, Trg Matije Gupca 25, 49240 Donja Stubica</izvorni_sadrzaj>
    <derivirana_varijabla naziv="DomainObject.Predmet.ProtustrankaIDrugiAdressOIB_1">SKITNICA d.o.o., OIB 68948338156, Trg Matije Gupca 25,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SKITNICA d.o.o.</item>
      <item>FINA Regionalni centar Zagreb</item>
    </izvorni_sadrzaj>
    <derivirana_varijabla naziv="DomainObject.Predmet.SudioniciListNaziv_1">
      <item>SKITNICA d.o.o.</item>
      <item>FINA Regionalni centar Zagreb</item>
    </derivirana_varijabla>
  </DomainObject.Predmet.SudioniciListNaziv>
  <DomainObject.Predmet.SudioniciListAdressOIB>
    <izvorni_sadrzaj>
      <item>SKITNICA d.o.o., OIB 68948338156, Trg Matije Gupca 25,49240 Donja Stubica</item>
      <item>FINA Regionalni centar Zagreb, OIB 85821130368, Trg svibanjskih žrtava 1995. 1,10000 Zagreb</item>
    </izvorni_sadrzaj>
    <derivirana_varijabla naziv="DomainObject.Predmet.SudioniciListAdressOIB_1">
      <item>SKITNICA d.o.o., OIB 68948338156, Trg Matije Gupca 25,49240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68948338156</item>
      <item>, OIB 85821130368</item>
    </izvorni_sadrzaj>
    <derivirana_varijabla naziv="DomainObject.Predmet.SudioniciListNazivOIB_1">
      <item>, OIB 68948338156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104C2-B572-402A-8A59-F213730390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9</properties:Pages>
  <properties:Words>2333</properties:Words>
  <properties:Characters>13874</properties:Characters>
  <properties:Lines>321</properties:Lines>
  <properties:Paragraphs>76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2020-06-09T09:49:00Z</dcterms:created>
  <dc:creator>Melanija Krilčić</dc:creator>
  <cp:lastModifiedBy>Višnja Đopar</cp:lastModifiedBy>
  <cp:lastPrinted>2019-07-29T12:15:00Z</cp:lastPrinted>
  <dcterms:modified xmlns:xsi="http://www.w3.org/2001/XMLSchema-instance" xsi:type="dcterms:W3CDTF">2020-06-09T09:51:00Z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St-1138/2017-4137-1 - Godišnje izvješće o provedbi mjera izvanredne uprave u Agrok... (izvješće.docx)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